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2E" w:rsidRPr="00E1772D" w:rsidRDefault="00BB562E" w:rsidP="00020AF6">
      <w:pPr>
        <w:pStyle w:val="Tekstpodstawowywcity"/>
        <w:ind w:left="0"/>
        <w:rPr>
          <w:rFonts w:ascii="Times New Roman" w:hAnsi="Times New Roman"/>
          <w:color w:val="auto"/>
          <w:sz w:val="20"/>
          <w:szCs w:val="20"/>
        </w:rPr>
      </w:pPr>
      <w:r w:rsidRPr="00E1772D">
        <w:rPr>
          <w:rFonts w:ascii="Times New Roman" w:hAnsi="Times New Roman"/>
          <w:color w:val="auto"/>
          <w:sz w:val="20"/>
          <w:szCs w:val="20"/>
        </w:rPr>
        <w:t xml:space="preserve">Konkurs nr </w:t>
      </w:r>
      <w:r w:rsidR="00A14E34" w:rsidRPr="00E1772D">
        <w:rPr>
          <w:rFonts w:ascii="Times New Roman" w:hAnsi="Times New Roman"/>
          <w:color w:val="auto"/>
          <w:sz w:val="20"/>
          <w:szCs w:val="20"/>
        </w:rPr>
        <w:t>1</w:t>
      </w:r>
      <w:r w:rsidR="002A7059">
        <w:rPr>
          <w:rFonts w:ascii="Times New Roman" w:hAnsi="Times New Roman"/>
          <w:color w:val="auto"/>
          <w:sz w:val="20"/>
          <w:szCs w:val="20"/>
        </w:rPr>
        <w:t>5</w:t>
      </w:r>
      <w:bookmarkStart w:id="0" w:name="_GoBack"/>
      <w:bookmarkEnd w:id="0"/>
      <w:r w:rsidR="00A14E34" w:rsidRPr="00E1772D">
        <w:rPr>
          <w:rFonts w:ascii="Times New Roman" w:hAnsi="Times New Roman"/>
          <w:color w:val="auto"/>
          <w:sz w:val="20"/>
          <w:szCs w:val="20"/>
        </w:rPr>
        <w:t>/2018</w:t>
      </w:r>
    </w:p>
    <w:p w:rsidR="000C6D05" w:rsidRPr="00E1772D" w:rsidRDefault="000C6D05" w:rsidP="00020AF6">
      <w:pPr>
        <w:pStyle w:val="Tekstpodstawowywcity"/>
        <w:ind w:left="0"/>
        <w:jc w:val="right"/>
        <w:rPr>
          <w:rFonts w:ascii="Times New Roman" w:hAnsi="Times New Roman"/>
          <w:color w:val="auto"/>
          <w:sz w:val="20"/>
          <w:szCs w:val="20"/>
          <w:shd w:val="clear" w:color="auto" w:fill="FFFFFF"/>
        </w:rPr>
      </w:pPr>
      <w:r w:rsidRPr="00E1772D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Załącznik</w:t>
      </w:r>
      <w:r w:rsidRPr="00E1772D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E1772D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nr</w:t>
      </w:r>
      <w:r w:rsidRPr="00E1772D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="00625CC5" w:rsidRPr="00E1772D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4</w:t>
      </w:r>
      <w:r w:rsidR="00A66BFE" w:rsidRPr="00E1772D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.1.</w:t>
      </w:r>
    </w:p>
    <w:p w:rsidR="00EE6BA9" w:rsidRPr="00E1772D" w:rsidRDefault="00EE6BA9" w:rsidP="00020A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6D05" w:rsidRPr="00E1772D" w:rsidRDefault="00A14E34" w:rsidP="00020A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772D">
        <w:rPr>
          <w:rFonts w:ascii="Times New Roman" w:hAnsi="Times New Roman"/>
          <w:sz w:val="20"/>
          <w:szCs w:val="20"/>
        </w:rPr>
        <w:t xml:space="preserve">Wykaz świadczeń zdrowotnych (procedur) wraz z wyceną punktową w Oddziale Onkologii i Radioterapii – Dział Radioterapii Onkologicznej, w Zakładzie </w:t>
      </w:r>
      <w:proofErr w:type="spellStart"/>
      <w:r w:rsidRPr="00E1772D">
        <w:rPr>
          <w:rFonts w:ascii="Times New Roman" w:hAnsi="Times New Roman"/>
          <w:sz w:val="20"/>
          <w:szCs w:val="20"/>
        </w:rPr>
        <w:t>Teleradioterapii</w:t>
      </w:r>
      <w:proofErr w:type="spellEnd"/>
      <w:r w:rsidRPr="00E1772D">
        <w:rPr>
          <w:rFonts w:ascii="Times New Roman" w:hAnsi="Times New Roman"/>
          <w:sz w:val="20"/>
          <w:szCs w:val="20"/>
        </w:rPr>
        <w:t>, w Poradni Onkologicznej:</w:t>
      </w:r>
    </w:p>
    <w:p w:rsidR="00A14E34" w:rsidRPr="00E1772D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14E34" w:rsidRPr="00E1772D" w:rsidRDefault="00A14E34" w:rsidP="00020AF6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I. Realizacja zamówienia  w Oddziale Onkologii i Radioterapii – </w:t>
      </w:r>
      <w:r w:rsidR="00020AF6"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Dział Radioterapii Onkologicznej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 zakresie </w:t>
      </w:r>
      <w:r w:rsidR="00494A8D"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pełnienia  dyżurów   lekarskich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494A8D" w:rsidRPr="00E1772D">
        <w:rPr>
          <w:rFonts w:ascii="Times New Roman" w:eastAsia="Times New Roman" w:hAnsi="Times New Roman"/>
          <w:sz w:val="20"/>
          <w:szCs w:val="20"/>
          <w:lang w:eastAsia="pl-PL"/>
        </w:rPr>
        <w:t>(łącznie około 500 godzin w miesiącu)</w:t>
      </w:r>
      <w:r w:rsidR="00494A8D"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p w:rsidR="00A14E34" w:rsidRPr="00E1772D" w:rsidRDefault="00A14E34" w:rsidP="00020AF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5,8 punktów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za jedną godzinę udzielania świadczeń zdrowotnych w ramach pełnienia dyżuru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w dni powszednie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14E34" w:rsidRPr="00E1772D" w:rsidRDefault="00A14E34" w:rsidP="00020AF6">
      <w:pPr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– w godz. od  15:30 danego dnia do 7:55 dnia następnego od poniedziałku do piątku oraz w soboty od 7:55 do 7:55 dnia następnego,</w:t>
      </w:r>
    </w:p>
    <w:p w:rsidR="00A14E34" w:rsidRPr="00E1772D" w:rsidRDefault="00A14E34" w:rsidP="00020AF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5,8 punktów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za jedną godzinę udzielania świadczeń zdrowotnych w ramach pełnienia dyżuru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w niedziele i święta</w:t>
      </w:r>
    </w:p>
    <w:p w:rsidR="00A14E34" w:rsidRPr="00E1772D" w:rsidRDefault="00A14E34" w:rsidP="00020AF6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– w godz. od  7:55 danego dnia do 7:55 dnia następnego.</w:t>
      </w:r>
    </w:p>
    <w:p w:rsidR="00020AF6" w:rsidRPr="00E1772D" w:rsidRDefault="00020AF6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14E34" w:rsidRPr="00E1772D" w:rsidRDefault="00020AF6" w:rsidP="00020A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A14E34"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I. Realizacja zamówienia  w Oddziale Onkologii i Radioterapii –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</w:t>
      </w:r>
      <w:r w:rsidR="00A14E34"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Dziale Radioterapii Onkologicznej oraz w Zakładzie </w:t>
      </w:r>
      <w:proofErr w:type="spellStart"/>
      <w:r w:rsidR="00A14E34"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Teleradioterapii</w:t>
      </w:r>
      <w:proofErr w:type="spellEnd"/>
      <w:r w:rsidR="00494A8D"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494A8D" w:rsidRPr="00E1772D">
        <w:rPr>
          <w:rFonts w:ascii="Times New Roman" w:eastAsia="Times New Roman" w:hAnsi="Times New Roman"/>
          <w:sz w:val="20"/>
          <w:szCs w:val="20"/>
          <w:lang w:eastAsia="pl-PL"/>
        </w:rPr>
        <w:t>(łącznie około 8800 punktów w miesiącu)</w:t>
      </w:r>
      <w:r w:rsidR="00494A8D"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 w:rsidR="00A14E34"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E1772D" w:rsidRPr="00E1772D" w:rsidRDefault="00E1772D" w:rsidP="00E1772D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 realizację zamówienia  składają się poniższe czynności (ze wskazaniem ilości punktów):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badanie lekarskie, kwalifikacja do leczenia, ew. uzupełnienie diagnostyki, przedstawienie pacjentowi powikłań wczesnych i późnych  po radioterapii i uzyskanie zgody na napromieniowania 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- 10 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określenie obszarów do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napromieniowań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GTV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CTF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PTV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oraz narządów krytycznych wraz z dawkami tolerancji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7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pozycjonowanie pacjenta na symulatorze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2 punkty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nadzorowanie wykonania zdjęcia skanów na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3 punkty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wyrysowanie obszarów do napromieniowania -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GTV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CTF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PTV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oraz narządów krytycznych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20 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wyrysowanie obszaru do planowania leczenia za pomocą wiązek elektronowych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10 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akceptacja planu wykonanego przez fizyka oraz zgromadzenie dokumentacji; histogramy, przekroje,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BEV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-y –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10 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akceptacja rozkładu dawki wiązek elektronowych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5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planu na symulatorze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9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planowanie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napromieniowań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radykalnych na symulatorze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9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planowanie na symulatorze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napromieniowań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paliatywnych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5 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na aparacie terapeutycznym wraz z akceptacją portali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5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akceptacja portali kontrolnych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2 punkty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wizyta ambulatoryjna prawidłowo zakodowana i rozliczona do płatnika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3 punkty,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przygotowanie epikryzy i wypisu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3 punkty,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opieka nad chorym w Oddziale (udokumentowana poprzez stosowny wpis w dokumentacji medycznej pacjenta objętego opieką w danym dniu)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1,5 punktu osobodzień,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konsultacja na innych oddziałach (udokumentowana poprzez stosowny wpis w dokumentacji medycznej pacjenta)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5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PTV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wrysowanie obszarów do napromieniowania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GTV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CTV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PTV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oraz narządów krytycznych dla planowania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- 28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AKC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PL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akceptacja planu wykonanego przez fizyka oraz zgromadzenie dokumentacji; histogramy, przekroje,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BEV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-y </w:t>
      </w:r>
      <w:r w:rsidRPr="00E177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- 13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SYM PL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wprowadzenie planu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symulatorze </w:t>
      </w:r>
      <w:r w:rsidRPr="00E177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- 12 punktów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 xml:space="preserve">wprowadzenie czynności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WP-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wprowadzenie pól na aparacie terapeutycznym </w:t>
      </w:r>
      <w:r w:rsidRPr="00E177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- 9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wirtualne planowanie radioterapii paliatywnej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12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nadzór na d badaniem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do planowania (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TBI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- 8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akceptacja planu i przygotowanie osłon (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AKC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PL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TBI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) 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- 12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nadzór nad napromienianiem chorego (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TBI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- 90 punktów/dzień,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PTU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-BRAM -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wyrysowanie obszaru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PTU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CTV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GTU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narządów krytycznych dla radioterapii bramkowanej oddechowej 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- 30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-BRAM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wykonanie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dla radioterapii bramkowanej oddechowo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7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WP-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-BRAM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– rozpoczęcie leczenia radioterapii bramkowanej oddechowo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12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SYM WP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(wprowadzenie planu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oraz pól na aparacie terapeutycznym) –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21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SYM WP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(wprowadzenie planu 3D oraz pól na aparacie terapeutycznym) - 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14punktów,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POZ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(pozycjonowanie oraz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) –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5 punktów,</w:t>
      </w:r>
    </w:p>
    <w:p w:rsidR="00E1772D" w:rsidRPr="00E1772D" w:rsidRDefault="00E1772D" w:rsidP="00E1772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WP PAL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(wprowadzenie pól na aparacie terapeutycznym w radioterapii paliatywnej) –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3 punkty.</w:t>
      </w:r>
    </w:p>
    <w:p w:rsidR="00A14E34" w:rsidRPr="00E1772D" w:rsidRDefault="00A14E34" w:rsidP="0054231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A14E34" w:rsidRPr="00E1772D" w:rsidRDefault="0054231F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III</w:t>
      </w:r>
      <w:r w:rsidR="00A14E34"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Wycena świadczeń zdrowotnych w Poradni Onkologicznej </w:t>
      </w:r>
      <w:r w:rsidR="00A14E34" w:rsidRPr="00E1772D">
        <w:rPr>
          <w:rFonts w:ascii="Times New Roman" w:eastAsia="Times New Roman" w:hAnsi="Times New Roman"/>
          <w:sz w:val="20"/>
          <w:szCs w:val="20"/>
          <w:lang w:eastAsia="pl-PL"/>
        </w:rPr>
        <w:t>(zgodność typu i g</w:t>
      </w:r>
      <w:r w:rsidR="00494A8D" w:rsidRPr="00E1772D">
        <w:rPr>
          <w:rFonts w:ascii="Times New Roman" w:eastAsia="Times New Roman" w:hAnsi="Times New Roman"/>
          <w:sz w:val="20"/>
          <w:szCs w:val="20"/>
          <w:lang w:eastAsia="pl-PL"/>
        </w:rPr>
        <w:t>rup świadczeń z katalogiem NFZ) (łącznie około 2500 punktów w miesiącu):</w:t>
      </w:r>
    </w:p>
    <w:p w:rsidR="00E1772D" w:rsidRPr="00E1772D" w:rsidRDefault="00E1772D" w:rsidP="00E1772D">
      <w:pPr>
        <w:spacing w:after="0" w:line="240" w:lineRule="auto"/>
        <w:ind w:left="45"/>
        <w:rPr>
          <w:rFonts w:ascii="Arial Narrow" w:eastAsia="Times New Roman" w:hAnsi="Arial Narrow"/>
          <w:b/>
          <w:lang w:eastAsia="pl-PL"/>
        </w:rPr>
      </w:pPr>
    </w:p>
    <w:p w:rsidR="00E1772D" w:rsidRPr="00E1772D" w:rsidRDefault="00E1772D" w:rsidP="00E1772D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receptowe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- 0,5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pohospitalizacyjne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- 1,6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specjalistyczne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</w:p>
    <w:p w:rsidR="00E1772D" w:rsidRPr="00E1772D" w:rsidRDefault="00E1772D" w:rsidP="00E1772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1- go typu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  1,6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od 2- go do 5- typu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 2,2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7- go typu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  2,2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pierwszorazowe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 3,6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E1772D" w:rsidRPr="00E1772D" w:rsidRDefault="00E1772D" w:rsidP="00E1772D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- bez względu na typ udzielonego świadczenia pierwszorazowego</w:t>
      </w:r>
    </w:p>
    <w:p w:rsidR="00E1772D" w:rsidRPr="00E1772D" w:rsidRDefault="00E1772D" w:rsidP="00E1772D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zabiegowe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</w:p>
    <w:p w:rsidR="00E1772D" w:rsidRPr="00E1772D" w:rsidRDefault="00E1772D" w:rsidP="00E1772D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Z 25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 punkt,</w:t>
      </w:r>
    </w:p>
    <w:p w:rsidR="00E1772D" w:rsidRPr="00E1772D" w:rsidRDefault="00E1772D" w:rsidP="00E1772D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Z 100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– 3,5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pozostałe grupy świadczeń zabiegowych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– 3,8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E1772D" w:rsidRPr="00E1772D" w:rsidRDefault="00E1772D" w:rsidP="00E1772D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wstępną diagnostykę onkologiczną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rozliczoną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- 6 punktów,</w:t>
      </w:r>
    </w:p>
    <w:p w:rsidR="00E1772D" w:rsidRPr="00E1772D" w:rsidRDefault="00E1772D" w:rsidP="00E1772D">
      <w:pPr>
        <w:spacing w:after="0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- bez względu rodzaj udzielonego diagnostycznego pakietu onkologicznego</w:t>
      </w:r>
    </w:p>
    <w:p w:rsidR="00E1772D" w:rsidRPr="00E1772D" w:rsidRDefault="00E1772D" w:rsidP="00E1772D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pogłębioną diagnostykę onkologiczną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rozliczoną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- 6 punktów,</w:t>
      </w:r>
    </w:p>
    <w:p w:rsidR="00E1772D" w:rsidRPr="00E1772D" w:rsidRDefault="00E1772D" w:rsidP="00E1772D">
      <w:pPr>
        <w:spacing w:after="0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- bez względu rodzaj udzielonego diagnostycznego pakietu onkologicznego</w:t>
      </w:r>
    </w:p>
    <w:p w:rsidR="00E1772D" w:rsidRPr="00E1772D" w:rsidRDefault="00E1772D" w:rsidP="00E1772D">
      <w:pPr>
        <w:numPr>
          <w:ilvl w:val="0"/>
          <w:numId w:val="4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konsultacja za 1 pacjenta w ramach konsylium onkologicznego w rozumieniu zapisów umowy Narodowym Funduszem Zdrowia lub innym płatnikiem (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DILO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), o ile zostało rozliczone przez NFZ (innego płatnika) - 5 punktów.</w:t>
      </w:r>
    </w:p>
    <w:p w:rsidR="00E1772D" w:rsidRPr="00E1772D" w:rsidRDefault="00E1772D" w:rsidP="00E1772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Pr="00E1772D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Powyższe  świadczenia zdrowotne  udzielane w Poradni Onkologicznej są zgodne z katalogiem ambulatoryjnych świadczeń specjalistycznych NFZ w zakresie działalności Poradni Onkologicznej.</w:t>
      </w:r>
    </w:p>
    <w:p w:rsidR="00625CC5" w:rsidRPr="00E1772D" w:rsidRDefault="00625CC5" w:rsidP="00020A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6D05" w:rsidRPr="00E1772D" w:rsidRDefault="000C6D05" w:rsidP="00020A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6744" w:rsidRPr="00E1772D" w:rsidRDefault="00276744" w:rsidP="00020A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6744" w:rsidRPr="00E1772D" w:rsidRDefault="00276744" w:rsidP="00020A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6744" w:rsidRPr="00E1772D" w:rsidRDefault="00276744" w:rsidP="00020A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24B4" w:rsidRPr="00E1772D" w:rsidRDefault="006E24B4" w:rsidP="00E177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E24B4" w:rsidRPr="00E1772D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35" w:rsidRDefault="00733A35" w:rsidP="00A8421C">
      <w:pPr>
        <w:spacing w:after="0" w:line="240" w:lineRule="auto"/>
      </w:pPr>
      <w:r>
        <w:separator/>
      </w:r>
    </w:p>
  </w:endnote>
  <w:endnote w:type="continuationSeparator" w:id="0">
    <w:p w:rsidR="00733A35" w:rsidRDefault="00733A3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0D4B0C" w:rsidP="00B90AE7">
    <w:pPr>
      <w:pStyle w:val="Stopka"/>
      <w:jc w:val="center"/>
      <w:rPr>
        <w:b/>
        <w:sz w:val="16"/>
        <w:szCs w:val="16"/>
      </w:rPr>
    </w:pPr>
  </w:p>
  <w:p w:rsidR="000D4B0C" w:rsidRDefault="000D4B0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Default="000D4B0C" w:rsidP="001C79B9">
    <w:pPr>
      <w:pStyle w:val="Stopka"/>
      <w:rPr>
        <w:b/>
        <w:noProof/>
        <w:lang w:eastAsia="pl-PL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D4B0C" w:rsidRPr="001800AA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35" w:rsidRDefault="00733A35" w:rsidP="00A8421C">
      <w:pPr>
        <w:spacing w:after="0" w:line="240" w:lineRule="auto"/>
      </w:pPr>
      <w:r>
        <w:separator/>
      </w:r>
    </w:p>
  </w:footnote>
  <w:footnote w:type="continuationSeparator" w:id="0">
    <w:p w:rsidR="00733A35" w:rsidRDefault="00733A3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2A70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Pr="00406824" w:rsidRDefault="000D4B0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705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D4B0C" w:rsidRDefault="000D4B0C" w:rsidP="00B90AE7">
    <w:pPr>
      <w:pStyle w:val="Nagwek"/>
    </w:pPr>
    <w:r>
      <w:tab/>
    </w:r>
  </w:p>
  <w:p w:rsidR="000D4B0C" w:rsidRDefault="000D4B0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Pr="002D500A" w:rsidRDefault="000D4B0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2A70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E72F6D"/>
    <w:multiLevelType w:val="hybridMultilevel"/>
    <w:tmpl w:val="50BA5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E77A95"/>
    <w:multiLevelType w:val="singleLevel"/>
    <w:tmpl w:val="7C72C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F8758A"/>
    <w:multiLevelType w:val="hybridMultilevel"/>
    <w:tmpl w:val="251AD270"/>
    <w:lvl w:ilvl="0" w:tplc="0D9EDFAA">
      <w:start w:val="1"/>
      <w:numFmt w:val="decimal"/>
      <w:lvlText w:val="%1)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0CF25321"/>
    <w:multiLevelType w:val="hybridMultilevel"/>
    <w:tmpl w:val="5F8CF1B2"/>
    <w:lvl w:ilvl="0" w:tplc="E2486E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D54E05"/>
    <w:multiLevelType w:val="hybridMultilevel"/>
    <w:tmpl w:val="B52CE5A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275E7063"/>
    <w:multiLevelType w:val="hybridMultilevel"/>
    <w:tmpl w:val="6A7A57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D38046D"/>
    <w:multiLevelType w:val="hybridMultilevel"/>
    <w:tmpl w:val="FA36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33795E"/>
    <w:multiLevelType w:val="hybridMultilevel"/>
    <w:tmpl w:val="B91CE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A31BA2"/>
    <w:multiLevelType w:val="hybridMultilevel"/>
    <w:tmpl w:val="06589A62"/>
    <w:lvl w:ilvl="0" w:tplc="2EB65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A0105D"/>
    <w:multiLevelType w:val="hybridMultilevel"/>
    <w:tmpl w:val="E3A84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D787E76"/>
    <w:multiLevelType w:val="multilevel"/>
    <w:tmpl w:val="8A5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EE7680A"/>
    <w:multiLevelType w:val="multilevel"/>
    <w:tmpl w:val="BC6C1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1645B6"/>
    <w:multiLevelType w:val="hybridMultilevel"/>
    <w:tmpl w:val="FEC43A88"/>
    <w:lvl w:ilvl="0" w:tplc="EBA24C9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97B96"/>
    <w:multiLevelType w:val="hybridMultilevel"/>
    <w:tmpl w:val="EF22A9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AE62C2E"/>
    <w:multiLevelType w:val="hybridMultilevel"/>
    <w:tmpl w:val="7A14D4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2"/>
  </w:num>
  <w:num w:numId="7">
    <w:abstractNumId w:val="3"/>
  </w:num>
  <w:num w:numId="8">
    <w:abstractNumId w:val="4"/>
  </w:num>
  <w:num w:numId="9">
    <w:abstractNumId w:val="35"/>
  </w:num>
  <w:num w:numId="10">
    <w:abstractNumId w:val="10"/>
  </w:num>
  <w:num w:numId="11">
    <w:abstractNumId w:val="7"/>
  </w:num>
  <w:num w:numId="12">
    <w:abstractNumId w:val="28"/>
  </w:num>
  <w:num w:numId="13">
    <w:abstractNumId w:val="5"/>
  </w:num>
  <w:num w:numId="14">
    <w:abstractNumId w:val="8"/>
  </w:num>
  <w:num w:numId="15">
    <w:abstractNumId w:val="9"/>
  </w:num>
  <w:num w:numId="16">
    <w:abstractNumId w:val="26"/>
  </w:num>
  <w:num w:numId="17">
    <w:abstractNumId w:val="12"/>
  </w:num>
  <w:num w:numId="18">
    <w:abstractNumId w:val="45"/>
  </w:num>
  <w:num w:numId="19">
    <w:abstractNumId w:val="11"/>
  </w:num>
  <w:num w:numId="20">
    <w:abstractNumId w:val="18"/>
  </w:num>
  <w:num w:numId="21">
    <w:abstractNumId w:val="36"/>
  </w:num>
  <w:num w:numId="22">
    <w:abstractNumId w:val="25"/>
  </w:num>
  <w:num w:numId="23">
    <w:abstractNumId w:val="16"/>
  </w:num>
  <w:num w:numId="24">
    <w:abstractNumId w:val="38"/>
  </w:num>
  <w:num w:numId="25">
    <w:abstractNumId w:val="14"/>
  </w:num>
  <w:num w:numId="26">
    <w:abstractNumId w:val="13"/>
  </w:num>
  <w:num w:numId="27">
    <w:abstractNumId w:val="4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47"/>
  </w:num>
  <w:num w:numId="31">
    <w:abstractNumId w:val="27"/>
  </w:num>
  <w:num w:numId="32">
    <w:abstractNumId w:val="23"/>
  </w:num>
  <w:num w:numId="33">
    <w:abstractNumId w:val="39"/>
  </w:num>
  <w:num w:numId="34">
    <w:abstractNumId w:val="46"/>
  </w:num>
  <w:num w:numId="35">
    <w:abstractNumId w:val="42"/>
  </w:num>
  <w:num w:numId="36">
    <w:abstractNumId w:val="32"/>
  </w:num>
  <w:num w:numId="37">
    <w:abstractNumId w:val="20"/>
  </w:num>
  <w:num w:numId="38">
    <w:abstractNumId w:val="43"/>
  </w:num>
  <w:num w:numId="39">
    <w:abstractNumId w:val="40"/>
    <w:lvlOverride w:ilvl="0">
      <w:startOverride w:val="1"/>
    </w:lvlOverride>
  </w:num>
  <w:num w:numId="40">
    <w:abstractNumId w:val="17"/>
  </w:num>
  <w:num w:numId="41">
    <w:abstractNumId w:val="44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4"/>
  </w:num>
  <w:num w:numId="45">
    <w:abstractNumId w:val="15"/>
  </w:num>
  <w:num w:numId="46">
    <w:abstractNumId w:val="30"/>
  </w:num>
  <w:num w:numId="47">
    <w:abstractNumId w:val="3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109AF"/>
    <w:rsid w:val="00020AF6"/>
    <w:rsid w:val="00030A66"/>
    <w:rsid w:val="00061689"/>
    <w:rsid w:val="0007788C"/>
    <w:rsid w:val="000A08B2"/>
    <w:rsid w:val="000A5AC9"/>
    <w:rsid w:val="000C2113"/>
    <w:rsid w:val="000C6D05"/>
    <w:rsid w:val="000D4B0C"/>
    <w:rsid w:val="000F146E"/>
    <w:rsid w:val="0013428C"/>
    <w:rsid w:val="00144F19"/>
    <w:rsid w:val="00150A1C"/>
    <w:rsid w:val="001706D1"/>
    <w:rsid w:val="001800AA"/>
    <w:rsid w:val="001873C5"/>
    <w:rsid w:val="00192A04"/>
    <w:rsid w:val="001B2FF5"/>
    <w:rsid w:val="001C79B9"/>
    <w:rsid w:val="001C7E86"/>
    <w:rsid w:val="002025FE"/>
    <w:rsid w:val="0020637A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A7059"/>
    <w:rsid w:val="002C5377"/>
    <w:rsid w:val="002D3D68"/>
    <w:rsid w:val="002D500A"/>
    <w:rsid w:val="002E0160"/>
    <w:rsid w:val="003032FB"/>
    <w:rsid w:val="00326105"/>
    <w:rsid w:val="00330BF0"/>
    <w:rsid w:val="00341D32"/>
    <w:rsid w:val="00351DB5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576B1"/>
    <w:rsid w:val="004577E4"/>
    <w:rsid w:val="0049000D"/>
    <w:rsid w:val="00494A8D"/>
    <w:rsid w:val="004A68C9"/>
    <w:rsid w:val="004C4531"/>
    <w:rsid w:val="004C7D50"/>
    <w:rsid w:val="004D2377"/>
    <w:rsid w:val="004E269D"/>
    <w:rsid w:val="004F0BB6"/>
    <w:rsid w:val="00507BED"/>
    <w:rsid w:val="00516728"/>
    <w:rsid w:val="00517553"/>
    <w:rsid w:val="0054231F"/>
    <w:rsid w:val="00542B3E"/>
    <w:rsid w:val="00561528"/>
    <w:rsid w:val="00584189"/>
    <w:rsid w:val="005A3DF9"/>
    <w:rsid w:val="005C6D95"/>
    <w:rsid w:val="005D16F3"/>
    <w:rsid w:val="005D34FA"/>
    <w:rsid w:val="005E06BA"/>
    <w:rsid w:val="00620AA3"/>
    <w:rsid w:val="00625CC5"/>
    <w:rsid w:val="006716EE"/>
    <w:rsid w:val="0068006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33A35"/>
    <w:rsid w:val="00745617"/>
    <w:rsid w:val="00750442"/>
    <w:rsid w:val="00771138"/>
    <w:rsid w:val="00772E84"/>
    <w:rsid w:val="00780734"/>
    <w:rsid w:val="007B0216"/>
    <w:rsid w:val="008152BE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6C61"/>
    <w:rsid w:val="00A14E34"/>
    <w:rsid w:val="00A51908"/>
    <w:rsid w:val="00A66BFE"/>
    <w:rsid w:val="00A75AEC"/>
    <w:rsid w:val="00A8421C"/>
    <w:rsid w:val="00A85403"/>
    <w:rsid w:val="00A91E4F"/>
    <w:rsid w:val="00A92DB4"/>
    <w:rsid w:val="00AA37A9"/>
    <w:rsid w:val="00AD3931"/>
    <w:rsid w:val="00AE74AB"/>
    <w:rsid w:val="00AF2E9E"/>
    <w:rsid w:val="00B00305"/>
    <w:rsid w:val="00B031DB"/>
    <w:rsid w:val="00B07BDE"/>
    <w:rsid w:val="00B31384"/>
    <w:rsid w:val="00B3333F"/>
    <w:rsid w:val="00B608E6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D54AF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97B4A"/>
    <w:rsid w:val="00DA53B9"/>
    <w:rsid w:val="00DC09BF"/>
    <w:rsid w:val="00DC3CE3"/>
    <w:rsid w:val="00DD2A87"/>
    <w:rsid w:val="00DF5F66"/>
    <w:rsid w:val="00E143ED"/>
    <w:rsid w:val="00E1772D"/>
    <w:rsid w:val="00E2292A"/>
    <w:rsid w:val="00E2512E"/>
    <w:rsid w:val="00E33C41"/>
    <w:rsid w:val="00E40749"/>
    <w:rsid w:val="00E46962"/>
    <w:rsid w:val="00E56C21"/>
    <w:rsid w:val="00E625D9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2E80E9A6-230A-4329-8AE3-39E71693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1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7DE7-E9D8-4DE1-9D92-54508727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organizacja nadzor</cp:lastModifiedBy>
  <cp:revision>8</cp:revision>
  <dcterms:created xsi:type="dcterms:W3CDTF">2018-02-15T13:55:00Z</dcterms:created>
  <dcterms:modified xsi:type="dcterms:W3CDTF">2018-03-06T12:46:00Z</dcterms:modified>
</cp:coreProperties>
</file>