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5664" w:hanging="0"/>
        <w:rPr>
          <w:rFonts w:ascii="Tahoma" w:hAnsi="Tahoma" w:cs="Tahoma"/>
          <w:i/>
          <w:i/>
          <w:sz w:val="19"/>
          <w:szCs w:val="19"/>
          <w:lang w:eastAsia="pl-PL"/>
        </w:rPr>
      </w:pPr>
      <w:r>
        <w:rPr>
          <w:rFonts w:cs="Tahoma" w:ascii="Tahoma" w:hAnsi="Tahoma"/>
          <w:i/>
          <w:sz w:val="19"/>
          <w:szCs w:val="19"/>
          <w:lang w:eastAsia="pl-PL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/>
          <w:b/>
          <w:b/>
          <w:spacing w:val="20"/>
          <w:sz w:val="28"/>
          <w:szCs w:val="28"/>
        </w:rPr>
      </w:pPr>
      <w:r>
        <w:rPr>
          <w:rFonts w:eastAsia="Times New Roman" w:ascii="Times New Roman" w:hAnsi="Times New Roman"/>
          <w:b/>
          <w:spacing w:val="20"/>
          <w:sz w:val="28"/>
          <w:szCs w:val="28"/>
        </w:rPr>
        <w:t xml:space="preserve">SZCZEGÓŁOWE WARUNKI KONKURSU OFERT </w:t>
        <w:br/>
        <w:t xml:space="preserve">NA UDZIELANIE ŚWIADCZEŃ ZDROWOTNYCH 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</w:rPr>
        <w:t xml:space="preserve">nr </w:t>
      </w:r>
      <w:r>
        <w:rPr>
          <w:rFonts w:eastAsia="Times New Roman" w:ascii="Times New Roman" w:hAnsi="Times New Roman"/>
          <w:b/>
          <w:color w:val="000000"/>
          <w:sz w:val="28"/>
          <w:szCs w:val="28"/>
        </w:rPr>
        <w:t>75</w:t>
      </w:r>
      <w:r>
        <w:rPr>
          <w:rFonts w:eastAsia="Times New Roman" w:ascii="Times New Roman" w:hAnsi="Times New Roman"/>
          <w:b/>
          <w:sz w:val="28"/>
          <w:szCs w:val="28"/>
        </w:rPr>
        <w:t>/2018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/>
          <w:b/>
          <w:b/>
          <w:spacing w:val="20"/>
          <w:sz w:val="28"/>
          <w:szCs w:val="28"/>
        </w:rPr>
      </w:pPr>
      <w:r>
        <w:rPr>
          <w:rFonts w:eastAsia="Times New Roman" w:ascii="Times New Roman" w:hAnsi="Times New Roman"/>
          <w:b/>
          <w:spacing w:val="20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color w:val="00000A"/>
        </w:rPr>
      </w:pPr>
      <w:r>
        <w:rPr>
          <w:rFonts w:eastAsia="Times New Roman" w:ascii="Times New Roman" w:hAnsi="Times New Roman"/>
          <w:b/>
          <w:color w:val="00000A"/>
          <w:spacing w:val="20"/>
          <w:sz w:val="28"/>
          <w:szCs w:val="28"/>
        </w:rPr>
        <w:t>Ogłoszenie z dnia 22.11.2018 r.</w:t>
        <w:br/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/>
          <w:b/>
          <w:b/>
          <w:color w:val="00000A"/>
          <w:spacing w:val="20"/>
          <w:sz w:val="28"/>
          <w:szCs w:val="28"/>
        </w:rPr>
      </w:pPr>
      <w:r>
        <w:rPr>
          <w:rFonts w:eastAsia="Times New Roman" w:ascii="Times New Roman" w:hAnsi="Times New Roman"/>
          <w:b/>
          <w:color w:val="00000A"/>
          <w:spacing w:val="20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/>
          <w:b/>
          <w:b/>
          <w:color w:val="00000A"/>
          <w:spacing w:val="20"/>
          <w:sz w:val="28"/>
          <w:szCs w:val="28"/>
        </w:rPr>
      </w:pPr>
      <w:r>
        <w:rPr>
          <w:rFonts w:eastAsia="Times New Roman" w:ascii="Times New Roman" w:hAnsi="Times New Roman"/>
          <w:b/>
          <w:color w:val="00000A"/>
          <w:spacing w:val="20"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/>
          <w:b/>
          <w:b/>
          <w:color w:val="00000A"/>
          <w:sz w:val="28"/>
          <w:szCs w:val="28"/>
        </w:rPr>
      </w:pPr>
      <w:r>
        <w:rPr>
          <w:rFonts w:eastAsia="Times New Roman" w:ascii="Times New Roman" w:hAnsi="Times New Roman"/>
          <w:b/>
          <w:color w:val="00000A"/>
          <w:sz w:val="24"/>
          <w:szCs w:val="24"/>
        </w:rPr>
        <w:t>DOTYCZĄCE PRZEDMIOTU ZAMÓWIENIA: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/>
          <w:b/>
          <w:b/>
          <w:color w:val="00000A"/>
          <w:sz w:val="28"/>
          <w:szCs w:val="28"/>
          <w:lang w:eastAsia="pl-PL"/>
        </w:rPr>
      </w:pPr>
      <w:r>
        <w:rPr>
          <w:rFonts w:eastAsia="Times New Roman" w:ascii="Times New Roman" w:hAnsi="Times New Roman"/>
          <w:b/>
          <w:color w:val="00000A"/>
          <w:sz w:val="28"/>
          <w:szCs w:val="28"/>
        </w:rPr>
        <w:t xml:space="preserve">ŚWIADCZENIA ZDROWOTNE – ZAKRES CZYNNOŚCI: </w:t>
      </w:r>
      <w:r>
        <w:rPr>
          <w:rFonts w:eastAsia="Times New Roman" w:ascii="Times New Roman" w:hAnsi="Times New Roman"/>
          <w:b/>
          <w:color w:val="00000A"/>
          <w:sz w:val="28"/>
          <w:szCs w:val="28"/>
          <w:lang w:eastAsia="pl-PL"/>
        </w:rPr>
        <w:t>RATOWNIKÓW MEDYCZNYCH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/>
          <w:b/>
          <w:b/>
          <w:color w:val="00000A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color w:val="00000A"/>
          <w:sz w:val="24"/>
          <w:szCs w:val="24"/>
          <w:lang w:eastAsia="pl-PL"/>
        </w:rPr>
        <w:t xml:space="preserve">W LOKALIZACJI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color w:val="00000A"/>
          <w:sz w:val="24"/>
          <w:szCs w:val="24"/>
        </w:rPr>
      </w:pPr>
      <w:r>
        <w:rPr>
          <w:rFonts w:eastAsia="Times New Roman" w:ascii="Times New Roman" w:hAnsi="Times New Roman"/>
          <w:b/>
          <w:color w:val="00000A"/>
          <w:sz w:val="24"/>
          <w:szCs w:val="24"/>
        </w:rPr>
        <w:t>UL. SMOLUCHOWSKIEGO 18, 80-214 GDAŃSK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UDZIELAJĄCY ZAMÓWIENIA: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8"/>
          <w:szCs w:val="28"/>
        </w:rPr>
        <w:t>SZPITALE POMORSKIE Spółka z o.o. w Gdyni</w:t>
        <w:br/>
        <w:t>ul. Powstania Styczniowego 1, 81-519 Gdynia</w:t>
        <w:br/>
        <w:t>NIP: 586-22-86-770;   REGON 190141612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 xml:space="preserve">TRYB POSTĘPOWANIA:  </w:t>
      </w:r>
      <w:r>
        <w:rPr>
          <w:rFonts w:eastAsia="Times New Roman" w:ascii="Times New Roman" w:hAnsi="Times New Roman"/>
          <w:b/>
          <w:sz w:val="28"/>
          <w:szCs w:val="28"/>
        </w:rPr>
        <w:t xml:space="preserve">KONKURS OFERT NA UDZIELANIE </w:t>
        <w:br/>
        <w:t xml:space="preserve">                                          ŚWIADCZEŃ ZDROWOTNYCH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/>
          <w:b/>
          <w:b/>
          <w:bCs/>
        </w:rPr>
      </w:pPr>
      <w:r>
        <w:rPr>
          <w:rFonts w:eastAsia="Times New Roman" w:ascii="Times New Roman" w:hAnsi="Times New Roman"/>
          <w:b/>
          <w:bCs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/>
          <w:b/>
          <w:b/>
          <w:bCs/>
        </w:rPr>
      </w:pPr>
      <w:r>
        <w:rPr>
          <w:rFonts w:eastAsia="Times New Roman" w:ascii="Times New Roman" w:hAnsi="Times New Roman"/>
          <w:b/>
          <w:bCs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/>
          <w:b/>
          <w:b/>
          <w:bCs/>
        </w:rPr>
      </w:pPr>
      <w:r>
        <w:rPr>
          <w:rFonts w:eastAsia="Times New Roman" w:ascii="Times New Roman" w:hAnsi="Times New Roman"/>
          <w:b/>
          <w:bCs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/>
          <w:b/>
          <w:b/>
          <w:bCs/>
        </w:rPr>
      </w:pPr>
      <w:r>
        <w:rPr>
          <w:rFonts w:eastAsia="Times New Roman" w:ascii="Times New Roman" w:hAnsi="Times New Roman"/>
          <w:b/>
          <w:bCs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/>
          <w:b/>
          <w:b/>
          <w:bCs/>
        </w:rPr>
      </w:pPr>
      <w:r>
        <w:rPr>
          <w:rFonts w:eastAsia="Times New Roman" w:ascii="Times New Roman" w:hAnsi="Times New Roman"/>
          <w:b/>
          <w:bCs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/>
          <w:b/>
          <w:b/>
          <w:bCs/>
        </w:rPr>
      </w:pPr>
      <w:r>
        <w:rPr>
          <w:rFonts w:eastAsia="Times New Roman" w:ascii="Times New Roman" w:hAnsi="Times New Roman"/>
          <w:b/>
          <w:bCs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/>
          <w:b/>
          <w:b/>
          <w:bCs/>
        </w:rPr>
      </w:pPr>
      <w:r>
        <w:rPr>
          <w:rFonts w:eastAsia="Times New Roman" w:ascii="Times New Roman" w:hAnsi="Times New Roman"/>
          <w:b/>
          <w:bCs/>
        </w:rPr>
        <w:t>Załączniki: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/>
          <w:b/>
          <w:b/>
          <w:bCs/>
        </w:rPr>
      </w:pPr>
      <w:r>
        <w:rPr>
          <w:rFonts w:eastAsia="Times New Roman" w:ascii="Times New Roman" w:hAnsi="Times New Roman"/>
          <w:b/>
          <w:bCs/>
        </w:rPr>
      </w:r>
    </w:p>
    <w:p>
      <w:pPr>
        <w:pStyle w:val="Western"/>
        <w:numPr>
          <w:ilvl w:val="0"/>
          <w:numId w:val="2"/>
        </w:numPr>
        <w:spacing w:lineRule="auto" w:line="240" w:beforeAutospacing="0" w:before="0" w:after="0"/>
        <w:rPr/>
      </w:pPr>
      <w:r>
        <w:rPr/>
        <w:t xml:space="preserve">Formularz ofertowo-cenowy (Załącznik nr 1) </w:t>
      </w:r>
    </w:p>
    <w:p>
      <w:pPr>
        <w:pStyle w:val="Western"/>
        <w:numPr>
          <w:ilvl w:val="0"/>
          <w:numId w:val="2"/>
        </w:numPr>
        <w:spacing w:lineRule="atLeast" w:line="102" w:before="0" w:after="0"/>
        <w:rPr/>
      </w:pPr>
      <w:r>
        <w:rPr/>
        <w:t>Informacja o kwalifikacjach zawodowych (Załącznik nr 2)</w:t>
      </w:r>
    </w:p>
    <w:p>
      <w:pPr>
        <w:pStyle w:val="Western"/>
        <w:numPr>
          <w:ilvl w:val="0"/>
          <w:numId w:val="2"/>
        </w:numPr>
        <w:spacing w:lineRule="atLeast" w:line="102" w:before="0" w:after="0"/>
        <w:rPr/>
      </w:pPr>
      <w:r>
        <w:rPr/>
        <w:t>Wzór umowy (Załącznik nr 3)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3675" w:leader="none"/>
        </w:tabs>
        <w:spacing w:lineRule="atLeast" w:line="100" w:before="0" w:after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Normal"/>
        <w:tabs>
          <w:tab w:val="left" w:pos="3675" w:leader="none"/>
        </w:tabs>
        <w:spacing w:lineRule="atLeast" w:line="100" w:before="0" w:after="0"/>
        <w:jc w:val="center"/>
        <w:rPr/>
      </w:pPr>
      <w:r>
        <w:rPr>
          <w:rFonts w:eastAsia="Times New Roman" w:ascii="Times New Roman" w:hAnsi="Times New Roman"/>
          <w:b/>
          <w:sz w:val="20"/>
          <w:szCs w:val="20"/>
        </w:rPr>
        <w:t>Gdynia, 22  listopad 2018</w:t>
      </w:r>
      <w:r>
        <w:br w:type="page"/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/>
          <w:b/>
          <w:b/>
          <w:spacing w:val="20"/>
          <w:u w:val="single"/>
        </w:rPr>
      </w:pPr>
      <w:r>
        <w:rPr>
          <w:rFonts w:eastAsia="Times New Roman" w:ascii="Times New Roman" w:hAnsi="Times New Roman"/>
          <w:b/>
          <w:spacing w:val="20"/>
          <w:u w:val="single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/>
          <w:b/>
          <w:b/>
          <w:spacing w:val="20"/>
          <w:u w:val="single"/>
        </w:rPr>
      </w:pPr>
      <w:r>
        <w:rPr>
          <w:rFonts w:eastAsia="Times New Roman" w:ascii="Times New Roman" w:hAnsi="Times New Roman"/>
          <w:b/>
          <w:spacing w:val="20"/>
          <w:u w:val="single"/>
        </w:rPr>
        <w:t xml:space="preserve">I. ORGAN OGŁASZAJĄCY KONKURS 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/>
          <w:b/>
          <w:b/>
          <w:i/>
          <w:i/>
          <w:spacing w:val="20"/>
          <w:sz w:val="16"/>
          <w:szCs w:val="16"/>
        </w:rPr>
      </w:pPr>
      <w:r>
        <w:rPr>
          <w:rFonts w:eastAsia="Times New Roman" w:ascii="Times New Roman" w:hAnsi="Times New Roman"/>
          <w:b/>
          <w:i/>
          <w:spacing w:val="2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ZARZĄD SZPITALI POMORSKICH SPÓŁKA Z O.O.</w:t>
        <w:br/>
        <w:t>ul. Powstania Styczniowego 1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81-519 Gdynia</w:t>
      </w:r>
    </w:p>
    <w:p>
      <w:pPr>
        <w:pStyle w:val="Wcicietrecitekstu"/>
        <w:spacing w:lineRule="auto" w:line="240" w:before="0" w:after="0"/>
        <w:ind w:left="0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KRS 0000492201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</w:rPr>
        <w:t>Udzielający zamówienia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eastAsia="Times New Roman"/>
          <w:b/>
          <w:b/>
          <w:sz w:val="16"/>
          <w:szCs w:val="16"/>
        </w:rPr>
      </w:pPr>
      <w:r>
        <w:rPr>
          <w:rFonts w:eastAsia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/>
          <w:b/>
          <w:b/>
          <w:spacing w:val="20"/>
          <w:u w:val="single"/>
        </w:rPr>
      </w:pPr>
      <w:r>
        <w:rPr>
          <w:rFonts w:eastAsia="Times New Roman" w:ascii="Times New Roman" w:hAnsi="Times New Roman"/>
          <w:b/>
          <w:spacing w:val="20"/>
          <w:u w:val="single"/>
        </w:rPr>
        <w:t>II. PODSTAWA PRAWNA</w:t>
      </w:r>
    </w:p>
    <w:p>
      <w:pPr>
        <w:pStyle w:val="Normal"/>
        <w:spacing w:lineRule="atLeast" w:line="100" w:before="100" w:after="100"/>
        <w:rPr>
          <w:rFonts w:ascii="Times New Roman" w:hAnsi="Times New Roman" w:eastAsia="Times New Roman"/>
          <w:b/>
          <w:b/>
          <w:spacing w:val="20"/>
        </w:rPr>
      </w:pPr>
      <w:r>
        <w:rPr>
          <w:rFonts w:eastAsia="Times New Roman" w:ascii="Times New Roman" w:hAnsi="Times New Roman"/>
        </w:rPr>
        <w:t>Art. 26 ust. 1 i 3 ustawy z dnia 15 kwietnia 2011r. o działalności leczniczej (t.j. Dz.U. 2018 poz.160 ze zm.)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/>
          <w:b/>
          <w:b/>
          <w:u w:val="single"/>
        </w:rPr>
      </w:pPr>
      <w:r>
        <w:rPr>
          <w:rFonts w:eastAsia="Times New Roman" w:ascii="Times New Roman" w:hAnsi="Times New Roman"/>
          <w:b/>
          <w:spacing w:val="20"/>
          <w:u w:val="single"/>
        </w:rPr>
        <w:t>III. PRZEDMIOT KONKURSU</w:t>
      </w:r>
    </w:p>
    <w:p>
      <w:pPr>
        <w:pStyle w:val="Normal"/>
        <w:spacing w:lineRule="atLeast" w:line="100" w:before="0" w:after="0"/>
        <w:rPr>
          <w:rFonts w:ascii="Times New Roman" w:hAnsi="Times New Roman" w:eastAsia="Times New Roman"/>
          <w:b/>
          <w:b/>
          <w:sz w:val="16"/>
          <w:szCs w:val="16"/>
        </w:rPr>
      </w:pPr>
      <w:r>
        <w:rPr>
          <w:rFonts w:eastAsia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tLeast" w:line="100" w:before="0" w:after="0"/>
        <w:jc w:val="both"/>
        <w:rPr/>
      </w:pPr>
      <w:r>
        <w:rPr>
          <w:rFonts w:eastAsia="Times New Roman" w:ascii="Times New Roman" w:hAnsi="Times New Roman"/>
        </w:rPr>
        <w:t xml:space="preserve">Przedmiotem konkursu jest udzielanie świadczeń zdrowotnych przez ratowników medycznych dla </w:t>
      </w:r>
      <w:r>
        <w:rPr>
          <w:rFonts w:ascii="Times New Roman" w:hAnsi="Times New Roman"/>
        </w:rPr>
        <w:t xml:space="preserve">Spółki </w:t>
      </w:r>
      <w:r>
        <w:rPr>
          <w:rFonts w:ascii="Times New Roman" w:hAnsi="Times New Roman"/>
          <w:b/>
          <w:bCs/>
        </w:rPr>
        <w:t xml:space="preserve">Szpitale Pomorskie Sp. z o.o. </w:t>
      </w:r>
      <w:r>
        <w:rPr>
          <w:rFonts w:ascii="Times New Roman" w:hAnsi="Times New Roman"/>
          <w:bCs/>
        </w:rPr>
        <w:t xml:space="preserve">(zwanej dalej Spółką) </w:t>
      </w:r>
      <w:r>
        <w:rPr>
          <w:rFonts w:ascii="Times New Roman" w:hAnsi="Times New Roman"/>
          <w:b/>
        </w:rPr>
        <w:t>w lokalizacji przy ul. Smoluchowskiego 18, Gdańsk</w:t>
      </w:r>
      <w:r>
        <w:rPr>
          <w:rFonts w:eastAsia="Tahoma" w:ascii="Times New Roman" w:hAnsi="Times New Roman"/>
          <w:i/>
          <w:shd w:fill="FFFFFF" w:val="clear"/>
        </w:rPr>
        <w:t xml:space="preserve"> (</w:t>
      </w:r>
      <w:r>
        <w:rPr>
          <w:rFonts w:eastAsia="Tahoma" w:ascii="Times New Roman" w:hAnsi="Times New Roman"/>
          <w:i/>
          <w:shd w:fill="FFFFFF" w:val="clear"/>
          <w:lang w:eastAsia="pl-PL"/>
        </w:rPr>
        <w:t xml:space="preserve">CPV:85100000-0 Usługi ochrony zdrowia, </w:t>
      </w:r>
      <w:r>
        <w:rPr>
          <w:rFonts w:eastAsia="Tahoma" w:ascii="Times New Roman" w:hAnsi="Times New Roman"/>
          <w:i/>
          <w:iCs/>
          <w:shd w:fill="FFFFFF" w:val="clear"/>
          <w:lang w:eastAsia="pl-PL"/>
        </w:rPr>
        <w:t>85140000-2 Różne usługi ochrony zdrowia, 85</w:t>
      </w:r>
      <w:r>
        <w:rPr>
          <w:rFonts w:eastAsia="Tahoma" w:ascii="Times New Roman" w:hAnsi="Times New Roman"/>
          <w:i/>
          <w:shd w:fill="FFFFFF" w:val="clear"/>
          <w:lang w:eastAsia="pl-PL"/>
        </w:rPr>
        <w:t>141000-9 Usługi świadczone przez personel medyczny</w:t>
      </w:r>
      <w:r>
        <w:rPr>
          <w:rFonts w:ascii="Times New Roman" w:hAnsi="Times New Roman"/>
          <w:bCs/>
          <w:i/>
        </w:rPr>
        <w:t xml:space="preserve">) </w:t>
      </w:r>
      <w:r>
        <w:rPr>
          <w:rFonts w:ascii="Times New Roman" w:hAnsi="Times New Roman"/>
          <w:bCs/>
        </w:rPr>
        <w:t>w następujących zakresie</w:t>
      </w:r>
      <w:r>
        <w:rPr>
          <w:rFonts w:ascii="Times New Roman" w:hAnsi="Times New Roman"/>
          <w:bCs/>
          <w:i/>
        </w:rPr>
        <w:t>:</w:t>
      </w:r>
    </w:p>
    <w:p>
      <w:pPr>
        <w:pStyle w:val="Normal"/>
        <w:spacing w:lineRule="atLeast" w:line="100" w:before="0" w:after="0"/>
        <w:rPr>
          <w:rFonts w:ascii="Times New Roman" w:hAnsi="Times New Roman"/>
          <w:b/>
          <w:b/>
          <w:bCs/>
          <w:i/>
          <w:i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i/>
          <w:sz w:val="20"/>
          <w:szCs w:val="20"/>
          <w:highlight w:val="yellow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hd w:fill="FFFFFF" w:val="clear"/>
        </w:rPr>
        <w:t>Przedmiotem konkursu jest świadczenie usług ratowników medycznych wraz z organizowaniem i prowadzeniem cyklicznych szkoleń personelu z zakresu resuscytacji osób dorosłych z użyciem automatycznych defibrylatorów zewnętrznych w ramach kontraktu przez ratowników  medycznych  w   lokalizacji ul. Smoluchowskiego 18, 80-214 Gdańsk- całodobowo, przez 7 dni w tygodniu, łącznie przeciętnie 680 godz. dla 30-dniowego miesiąca pracy.</w:t>
      </w:r>
      <w:r>
        <w:rPr>
          <w:rFonts w:ascii="Times New Roman" w:hAnsi="Times New Roman"/>
          <w:bCs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</w:rPr>
        <w:t>Udzielający zamówienia dysponuje do wypracowania przez ratowników medycznych łączną pulą godzin wynoszącą średniomiesięcznie 680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godzin.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Udzielający zamówienia udzieli zamówienia na w/w łączną liczbę godzin ratownikom medycznym, którzy złożyli najkorzystniejsze oferty, o wymaganej przez Udzielającego zamówienia dyspozycyjności czasowej, do wyczerpania wymaganej do zakontraktowania puli godzin, o ile cena danej oferty będzie się mieściła w kwocie, którą Udzielający zamówienia zamierza przeznaczyć na sfinansowanie zamówienia.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</w:rPr>
        <w:t>Udzielający zamówienia preferuje udzielenie zamówienia 5 ratownikom medycznym o miesięcznej dyspozycji czasowej przeciętnie 136 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Szczegółowy zakres obowiązków ratownika medycznego wskazany jest w projekcie umowy, stanowiącej Załącznik nr </w:t>
      </w:r>
      <w:r>
        <w:rPr>
          <w:rFonts w:ascii="Times New Roman" w:hAnsi="Times New Roman"/>
          <w:bCs/>
          <w:shd w:fill="FFFFFF" w:val="clear"/>
        </w:rPr>
        <w:t xml:space="preserve">2 </w:t>
      </w:r>
      <w:r>
        <w:rPr>
          <w:rFonts w:ascii="Times New Roman" w:hAnsi="Times New Roman"/>
          <w:bCs/>
        </w:rPr>
        <w:t>do niniejszych Szczegółowych Warunków Konkursu Ofert.</w:t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bCs/>
        </w:rPr>
        <w:t>Umowa zostanie zawarta na okres do dnia 31 grudnia 2020 r., począwszy od dnia podpisania umowy po prawomocnym rozstrzygnięciu konkursu.</w:t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</w:r>
    </w:p>
    <w:p>
      <w:pPr>
        <w:pStyle w:val="Normal"/>
        <w:tabs>
          <w:tab w:val="left" w:pos="10080" w:leader="none"/>
        </w:tabs>
        <w:spacing w:lineRule="auto" w:line="240" w:before="0" w:after="0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</w:r>
    </w:p>
    <w:p>
      <w:pPr>
        <w:pStyle w:val="Western"/>
        <w:spacing w:lineRule="auto" w:line="240" w:beforeAutospacing="0" w:before="0" w:after="0"/>
        <w:jc w:val="both"/>
        <w:rPr>
          <w:b/>
          <w:b/>
          <w:bCs/>
          <w:color w:val="00000A"/>
          <w:u w:val="single"/>
        </w:rPr>
      </w:pPr>
      <w:r>
        <w:rPr>
          <w:b/>
          <w:bCs/>
          <w:color w:val="00000A"/>
          <w:spacing w:val="20"/>
          <w:u w:val="single"/>
        </w:rPr>
        <w:t xml:space="preserve">IV. </w:t>
      </w:r>
      <w:r>
        <w:rPr>
          <w:b/>
          <w:bCs/>
          <w:color w:val="00000A"/>
          <w:u w:val="single"/>
        </w:rPr>
        <w:t>WARUNKI UDZIAŁU W POSTĘPOWANIU KONKURSOWYM WYMAGANE OD OFERENTÓW:</w:t>
      </w:r>
    </w:p>
    <w:p>
      <w:pPr>
        <w:pStyle w:val="Western"/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NormalWeb"/>
        <w:numPr>
          <w:ilvl w:val="0"/>
          <w:numId w:val="3"/>
        </w:numPr>
        <w:tabs>
          <w:tab w:val="left" w:pos="360" w:leader="none"/>
        </w:tabs>
        <w:spacing w:lineRule="auto" w:line="240" w:beforeAutospacing="0" w:before="0" w:after="0"/>
        <w:ind w:left="357" w:hanging="36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Oferty na wykonywanie świadczeń zdrowotnych mogą składać osoby legitymujące się nabyciem fachowych kwalifikacji ratownika medycznego, które: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są uprawnione do udzielania świadczeń zdrowotnych zgodnie z przedmiotem konkursu zgodnie z  art. 26 ust. 1 ustawy z dnia 15 kwietnia 2011 r. o działalności leczniczej (t.j. Dz.U.2018  poz.160  ze zm.) i pozostałych przepisach  oraz art. 10 ustawy z dnia 8 września 2006r. o Państwowym Ratownictwie Medycznym (t.j.Dz.U.2017.2195 ze zm.) i pozostałych przepisach, </w:t>
      </w:r>
      <w:r>
        <w:rPr>
          <w:rFonts w:ascii="Times New Roman" w:hAnsi="Times New Roman"/>
          <w:color w:val="000000"/>
        </w:rPr>
        <w:t>posiadają doświadczenie</w:t>
      </w:r>
      <w:r>
        <w:rPr>
          <w:rFonts w:eastAsia="Tahoma" w:ascii="Times New Roman" w:hAnsi="Times New Roman"/>
          <w:color w:val="000000"/>
        </w:rPr>
        <w:t xml:space="preserve"> w </w:t>
      </w:r>
      <w:r>
        <w:rPr>
          <w:rFonts w:ascii="Times New Roman" w:hAnsi="Times New Roman"/>
          <w:color w:val="000000"/>
        </w:rPr>
        <w:t>pracy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ratownika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medycznego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minimum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3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lata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certyfikat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instruktora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Polskiej</w:t>
      </w:r>
      <w:r>
        <w:rPr>
          <w:rFonts w:eastAsia="Tahoma" w:ascii="Times New Roman" w:hAnsi="Times New Roman"/>
          <w:color w:val="000000"/>
        </w:rPr>
        <w:t xml:space="preserve"> lub Europejskiej </w:t>
      </w:r>
      <w:r>
        <w:rPr>
          <w:rFonts w:ascii="Times New Roman" w:hAnsi="Times New Roman"/>
          <w:color w:val="000000"/>
        </w:rPr>
        <w:t>Rady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Resuscytacji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oraz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doświadczenie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w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przeprowadzaniu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szkoleń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z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eastAsia="Arial" w:ascii="Times New Roman" w:hAnsi="Times New Roman"/>
          <w:color w:val="000000"/>
        </w:rPr>
        <w:t>zakresu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eastAsia="Arial" w:ascii="Times New Roman" w:hAnsi="Times New Roman"/>
          <w:color w:val="000000"/>
        </w:rPr>
        <w:t>resuscytacji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eastAsia="Arial" w:ascii="Times New Roman" w:hAnsi="Times New Roman"/>
          <w:color w:val="000000"/>
        </w:rPr>
        <w:t>osób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eastAsia="Arial" w:ascii="Times New Roman" w:hAnsi="Times New Roman"/>
          <w:color w:val="000000"/>
        </w:rPr>
        <w:t>dorosłych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eastAsia="Arial" w:ascii="Times New Roman" w:hAnsi="Times New Roman"/>
          <w:color w:val="000000"/>
        </w:rPr>
        <w:t>w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eastAsia="Arial" w:ascii="Times New Roman" w:hAnsi="Times New Roman"/>
          <w:color w:val="000000"/>
        </w:rPr>
        <w:t>nagłym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eastAsia="Arial" w:ascii="Times New Roman" w:hAnsi="Times New Roman"/>
          <w:color w:val="000000"/>
        </w:rPr>
        <w:t>zatrzymaniu</w:t>
      </w:r>
      <w:r>
        <w:rPr>
          <w:rFonts w:eastAsia="Tahoma" w:ascii="Times New Roman" w:hAnsi="Times New Roman"/>
          <w:color w:val="000000"/>
        </w:rPr>
        <w:t xml:space="preserve"> </w:t>
      </w:r>
      <w:r>
        <w:rPr>
          <w:rFonts w:eastAsia="Arial" w:ascii="Times New Roman" w:hAnsi="Times New Roman"/>
          <w:color w:val="000000"/>
        </w:rPr>
        <w:t>krążenia,</w:t>
      </w:r>
    </w:p>
    <w:p>
      <w:pPr>
        <w:pStyle w:val="NormalWeb"/>
        <w:numPr>
          <w:ilvl w:val="0"/>
          <w:numId w:val="15"/>
        </w:numPr>
        <w:spacing w:lineRule="auto" w:line="240" w:beforeAutospacing="0" w:before="0" w:after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posiadają wpis do Centralnej Ewidencji i Informacji o Działalności Gospodarczej;</w:t>
      </w:r>
    </w:p>
    <w:p>
      <w:pPr>
        <w:pStyle w:val="NormalWeb"/>
        <w:numPr>
          <w:ilvl w:val="0"/>
          <w:numId w:val="15"/>
        </w:numPr>
        <w:spacing w:lineRule="auto" w:line="240" w:beforeAutospacing="0" w:before="0" w:after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mają zawartą umowę ubezpieczenia odpowiedzialności cywilnej w zakresie udzielonych świadczeń zdrowotnych (objętych konkursem ofert) złożą oświadczenie o zamiarze jej zawarcia, </w:t>
      </w:r>
    </w:p>
    <w:p>
      <w:pPr>
        <w:pStyle w:val="NormalWeb"/>
        <w:numPr>
          <w:ilvl w:val="0"/>
          <w:numId w:val="15"/>
        </w:numPr>
        <w:spacing w:lineRule="auto" w:line="240" w:beforeAutospacing="0" w:before="0" w:after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potwierdzą dyspozycyjność do świadczenia usług objętych konkursem w zakresie składanej oferty.</w:t>
      </w:r>
    </w:p>
    <w:p>
      <w:pPr>
        <w:pStyle w:val="NormalWeb"/>
        <w:numPr>
          <w:ilvl w:val="0"/>
          <w:numId w:val="4"/>
        </w:numPr>
        <w:tabs>
          <w:tab w:val="left" w:pos="360" w:leader="none"/>
        </w:tabs>
        <w:spacing w:lineRule="auto" w:line="240" w:beforeAutospacing="0" w:before="0" w:after="0"/>
        <w:ind w:left="357" w:hanging="357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</w:t>
        <w:br/>
        <w:t xml:space="preserve">o wymagane w SWKO dokumenty wyszczególnione w punkcie V. </w:t>
      </w:r>
    </w:p>
    <w:p>
      <w:pPr>
        <w:pStyle w:val="NormalWeb"/>
        <w:numPr>
          <w:ilvl w:val="0"/>
          <w:numId w:val="4"/>
        </w:numPr>
        <w:tabs>
          <w:tab w:val="left" w:pos="360" w:leader="none"/>
        </w:tabs>
        <w:spacing w:lineRule="auto" w:line="240" w:before="0" w:after="0"/>
        <w:ind w:left="360" w:hanging="36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Oferent po podpisaniu umowy na wykonywanie świadczeń zdrowotnych nie powinien w spółce Szpitale Pomorskie sp. z o.o. w Gdyni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 w zakresie pokrywającym się z przedmiotem niniejszego konkursu, z chwilą podpisania umowy o świadczenie usług zdrowotnych Oferent winien złożyć w wniosek o rozwiązanie łączącej go ze Spółką Szpitale Pomorskie Sp z o.o. w Gdyni umowy za porozumieniem stron. </w:t>
      </w:r>
    </w:p>
    <w:p>
      <w:pPr>
        <w:pStyle w:val="Western"/>
        <w:spacing w:lineRule="auto" w:line="276" w:before="0" w:after="198"/>
        <w:jc w:val="both"/>
        <w:rPr>
          <w:color w:val="00000A"/>
        </w:rPr>
      </w:pPr>
      <w:r>
        <w:rPr>
          <w:b/>
          <w:bCs/>
          <w:color w:val="00000A"/>
          <w:u w:val="single"/>
        </w:rPr>
        <w:t xml:space="preserve">V. WYMAGANIA DOTYCZĄCE OFERTY – WYKAZ WYMAGANYCH DOKUMENTÓW: </w:t>
      </w:r>
    </w:p>
    <w:p>
      <w:pPr>
        <w:pStyle w:val="Western"/>
        <w:numPr>
          <w:ilvl w:val="0"/>
          <w:numId w:val="5"/>
        </w:numPr>
        <w:spacing w:lineRule="auto" w:line="240" w:beforeAutospacing="0" w:before="0" w:after="0"/>
        <w:ind w:left="357" w:hanging="357"/>
        <w:jc w:val="both"/>
        <w:rPr>
          <w:color w:val="00000A"/>
        </w:rPr>
      </w:pPr>
      <w:r>
        <w:rPr>
          <w:color w:val="00000A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>
      <w:pPr>
        <w:pStyle w:val="Western"/>
        <w:numPr>
          <w:ilvl w:val="0"/>
          <w:numId w:val="5"/>
        </w:numPr>
        <w:spacing w:lineRule="auto" w:line="240" w:beforeAutospacing="0" w:before="0" w:after="0"/>
        <w:ind w:left="357" w:hanging="357"/>
        <w:jc w:val="both"/>
        <w:rPr>
          <w:color w:val="00000A"/>
        </w:rPr>
      </w:pPr>
      <w:r>
        <w:rPr>
          <w:color w:val="00000A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 </w:t>
      </w:r>
      <w:r>
        <w:rPr>
          <w:color w:val="000000"/>
        </w:rPr>
        <w:t>certyfikat</w:t>
      </w:r>
      <w:r>
        <w:rPr>
          <w:rFonts w:eastAsia="Tahoma"/>
          <w:color w:val="000000"/>
        </w:rPr>
        <w:t xml:space="preserve"> </w:t>
      </w:r>
      <w:r>
        <w:rPr>
          <w:color w:val="000000"/>
        </w:rPr>
        <w:t>instruktora</w:t>
      </w:r>
      <w:r>
        <w:rPr>
          <w:rFonts w:eastAsia="Tahoma"/>
          <w:color w:val="000000"/>
        </w:rPr>
        <w:t xml:space="preserve"> </w:t>
      </w:r>
      <w:r>
        <w:rPr>
          <w:color w:val="000000"/>
        </w:rPr>
        <w:t>Polskiej</w:t>
      </w:r>
      <w:r>
        <w:rPr>
          <w:rFonts w:eastAsia="Tahoma"/>
          <w:color w:val="000000"/>
        </w:rPr>
        <w:t xml:space="preserve"> lub Europejskiej </w:t>
      </w:r>
      <w:r>
        <w:rPr>
          <w:color w:val="000000"/>
        </w:rPr>
        <w:t>Rady</w:t>
      </w:r>
      <w:r>
        <w:rPr>
          <w:rFonts w:eastAsia="Tahoma"/>
          <w:color w:val="FF0000"/>
        </w:rPr>
        <w:t xml:space="preserve"> </w:t>
      </w:r>
      <w:r>
        <w:rPr>
          <w:color w:val="000000"/>
        </w:rPr>
        <w:t>Resuscytacji</w:t>
      </w:r>
      <w:r>
        <w:rPr>
          <w:rFonts w:eastAsia="Tahoma"/>
          <w:color w:val="000000"/>
        </w:rPr>
        <w:t>,</w:t>
      </w:r>
      <w:r>
        <w:rPr>
          <w:rFonts w:eastAsia="Tahoma"/>
          <w:color w:val="FF0000"/>
        </w:rPr>
        <w:t xml:space="preserve"> </w:t>
      </w:r>
      <w:r>
        <w:rPr>
          <w:color w:val="00000A"/>
        </w:rPr>
        <w:t xml:space="preserve"> do uzyskania dodatkowej punktacji - opinia przełożonego o nienagannej pracy za podany okres – zgodnie z danymi zaoferowanymi na formularzu ofertowym – kryteria oceny punktowej, </w:t>
      </w:r>
    </w:p>
    <w:p>
      <w:pPr>
        <w:pStyle w:val="Western"/>
        <w:numPr>
          <w:ilvl w:val="0"/>
          <w:numId w:val="5"/>
        </w:numPr>
        <w:spacing w:lineRule="auto" w:line="240" w:beforeAutospacing="0" w:before="0" w:after="0"/>
        <w:ind w:left="357" w:hanging="357"/>
        <w:jc w:val="both"/>
        <w:rPr>
          <w:color w:val="00000A"/>
        </w:rPr>
      </w:pPr>
      <w:r>
        <w:rPr>
          <w:color w:val="00000A"/>
        </w:rPr>
        <w:t xml:space="preserve">Aktualny odpis z właściwego rejestru poświadczony za zgodność z oryginałem przez osobę uprawnioną lub wydruk z Centralnej Ewidencji Działalności Gospodarczej, </w:t>
      </w:r>
    </w:p>
    <w:p>
      <w:pPr>
        <w:pStyle w:val="Western"/>
        <w:numPr>
          <w:ilvl w:val="0"/>
          <w:numId w:val="5"/>
        </w:numPr>
        <w:spacing w:lineRule="auto" w:line="240" w:beforeAutospacing="0" w:before="0" w:after="0"/>
        <w:ind w:left="357" w:hanging="357"/>
        <w:jc w:val="both"/>
        <w:rPr>
          <w:color w:val="00000A"/>
        </w:rPr>
      </w:pPr>
      <w:r>
        <w:rPr>
          <w:color w:val="00000A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>
      <w:pPr>
        <w:pStyle w:val="Western"/>
        <w:numPr>
          <w:ilvl w:val="0"/>
          <w:numId w:val="5"/>
        </w:numPr>
        <w:spacing w:lineRule="auto" w:line="240" w:beforeAutospacing="0" w:before="0" w:after="0"/>
        <w:ind w:left="357" w:hanging="357"/>
        <w:jc w:val="both"/>
        <w:rPr>
          <w:color w:val="00000A"/>
        </w:rPr>
      </w:pPr>
      <w:r>
        <w:rPr>
          <w:color w:val="00000A"/>
        </w:rPr>
        <w:t>Pełnomocnictwo dla osoby podpisującej ofertę, o ile jej uprawnienia nie wynikają z dokumentu określonego w punkcie 3.</w:t>
      </w:r>
    </w:p>
    <w:p>
      <w:pPr>
        <w:pStyle w:val="Western"/>
        <w:spacing w:lineRule="atLeast" w:line="102" w:before="0" w:after="0"/>
        <w:jc w:val="both"/>
        <w:rPr>
          <w:color w:val="00000A"/>
        </w:rPr>
      </w:pPr>
      <w:r>
        <w:rPr>
          <w:color w:val="00000A"/>
          <w:sz w:val="18"/>
          <w:szCs w:val="18"/>
        </w:rPr>
        <w:t>*Przedstawiciel Oferenta załącza stosowne pełnomocnictwo</w:t>
      </w:r>
    </w:p>
    <w:p>
      <w:pPr>
        <w:pStyle w:val="Western"/>
        <w:spacing w:lineRule="auto" w:line="276" w:beforeAutospacing="0" w:before="0" w:after="0"/>
        <w:jc w:val="both"/>
        <w:rPr>
          <w:b/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  <w:t xml:space="preserve">VI. WYMAGANIA DOTYCZĄCE OFERTY - OPIS SPOSOBU PRZYGOTOWANIA OFERTY: </w:t>
      </w:r>
    </w:p>
    <w:p>
      <w:pPr>
        <w:pStyle w:val="Western"/>
        <w:spacing w:lineRule="auto" w:line="276" w:beforeAutospacing="0" w:before="0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Western"/>
        <w:numPr>
          <w:ilvl w:val="0"/>
          <w:numId w:val="6"/>
        </w:numPr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>
      <w:pPr>
        <w:pStyle w:val="Western"/>
        <w:numPr>
          <w:ilvl w:val="0"/>
          <w:numId w:val="6"/>
        </w:numPr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>
      <w:pPr>
        <w:pStyle w:val="Western"/>
        <w:numPr>
          <w:ilvl w:val="0"/>
          <w:numId w:val="6"/>
        </w:numPr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  <w:t xml:space="preserve">Oferent może wskazać wyłącznie jeden wariant wynagrodzenia – wskazany przez Udzielającego zamówienia w formularzu oferty – w pozycji do wpisania. </w:t>
      </w:r>
    </w:p>
    <w:p>
      <w:pPr>
        <w:pStyle w:val="Western"/>
        <w:numPr>
          <w:ilvl w:val="0"/>
          <w:numId w:val="6"/>
        </w:numPr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  <w:t>Jeżeli do oświadczeń i wykazów przewidziany jest wzór – załącznik do SWKO, dokumenty te sporządza się według tych wzorów, jeżeli nie ma - Oferent sporządza go samodzielnie.</w:t>
      </w:r>
    </w:p>
    <w:p>
      <w:pPr>
        <w:pStyle w:val="Western"/>
        <w:numPr>
          <w:ilvl w:val="0"/>
          <w:numId w:val="6"/>
        </w:numPr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  <w:t>Oferent może złożyć ofertę wyłącznie na formularzu oferty Udzielającego zamówienia – wymagane wypełnienie Formularza ofertowego i Formularza kryteria oceny punktowej.</w:t>
      </w:r>
    </w:p>
    <w:p>
      <w:pPr>
        <w:pStyle w:val="Western"/>
        <w:numPr>
          <w:ilvl w:val="0"/>
          <w:numId w:val="6"/>
        </w:numPr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  <w:t xml:space="preserve">Oferta musi być podpisana przez osobę upoważnioną do reprezentowania Oferenta. W przypadku składania oferty przez pełnomocników </w:t>
      </w:r>
      <w:r>
        <w:rPr>
          <w:color w:val="00000A"/>
          <w:u w:val="single"/>
        </w:rPr>
        <w:t>należy dołączyć oryginał pełnomocnictwa lub kopię,</w:t>
      </w:r>
      <w:r>
        <w:rPr>
          <w:color w:val="00000A"/>
        </w:rPr>
        <w:t xml:space="preserve"> podpisaną przez mocodawcę upoważnionego do reprezentowania Oferenta lub uwierzytelniona przez notariusza.</w:t>
      </w:r>
    </w:p>
    <w:p>
      <w:pPr>
        <w:pStyle w:val="Western"/>
        <w:numPr>
          <w:ilvl w:val="0"/>
          <w:numId w:val="6"/>
        </w:numPr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  <w:t xml:space="preserve">Ofertę oraz pozostałe oświadczenia Oferenta należy złożyć w oryginale. </w:t>
      </w:r>
    </w:p>
    <w:p>
      <w:pPr>
        <w:pStyle w:val="Western"/>
        <w:numPr>
          <w:ilvl w:val="0"/>
          <w:numId w:val="6"/>
        </w:numPr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  <w:t>Do oferty należy dołączyć wszystkie wymagane dokumenty i oświadczenia wymienione SWKO.</w:t>
      </w:r>
    </w:p>
    <w:p>
      <w:pPr>
        <w:pStyle w:val="Western"/>
        <w:numPr>
          <w:ilvl w:val="0"/>
          <w:numId w:val="6"/>
        </w:numPr>
        <w:spacing w:lineRule="auto" w:line="240" w:beforeAutospacing="0" w:before="0" w:after="0"/>
        <w:jc w:val="both"/>
        <w:rPr>
          <w:color w:val="00000A"/>
        </w:rPr>
      </w:pPr>
      <w:r>
        <w:rPr>
          <w:b/>
          <w:bCs/>
          <w:color w:val="00000A"/>
        </w:rPr>
        <w:t xml:space="preserve">W charakterze załączników do oferty Oferent przedkłada </w:t>
      </w:r>
      <w:r>
        <w:rPr>
          <w:b/>
          <w:bCs/>
          <w:color w:val="00000A"/>
          <w:u w:val="single"/>
        </w:rPr>
        <w:t>oryginały lub potwierdzone za zgodność z oryginałem kserokopie odpowiednich dokumentów</w:t>
      </w:r>
      <w:r>
        <w:rPr>
          <w:color w:val="00000A"/>
          <w:u w:val="single"/>
        </w:rPr>
        <w:t>.</w:t>
      </w:r>
    </w:p>
    <w:p>
      <w:pPr>
        <w:pStyle w:val="Western"/>
        <w:numPr>
          <w:ilvl w:val="0"/>
          <w:numId w:val="6"/>
        </w:numPr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  <w:t xml:space="preserve">Każda strona powinna być opatrzona kolejnym numerem i podpisana przez Oferenta lub osobę przez niego upoważnioną. </w:t>
      </w:r>
    </w:p>
    <w:p>
      <w:pPr>
        <w:pStyle w:val="Western"/>
        <w:numPr>
          <w:ilvl w:val="0"/>
          <w:numId w:val="6"/>
        </w:numPr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>
      <w:pPr>
        <w:pStyle w:val="Western"/>
        <w:numPr>
          <w:ilvl w:val="0"/>
          <w:numId w:val="6"/>
        </w:numPr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  <w:t>Oferenci ponoszą wszystkie koszty związane z przygotowaniem i złożeniem oferty.</w:t>
      </w:r>
    </w:p>
    <w:p>
      <w:pPr>
        <w:pStyle w:val="Western"/>
        <w:numPr>
          <w:ilvl w:val="0"/>
          <w:numId w:val="6"/>
        </w:numPr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  <w:t>Oferta powinna być trwale zabezpieczona uniemożliwiając zmianę jej zawartości.</w:t>
      </w:r>
    </w:p>
    <w:p>
      <w:pPr>
        <w:pStyle w:val="Western"/>
        <w:numPr>
          <w:ilvl w:val="0"/>
          <w:numId w:val="6"/>
        </w:numPr>
        <w:spacing w:lineRule="auto" w:line="240" w:beforeAutospacing="0" w:before="0" w:after="0"/>
        <w:jc w:val="both"/>
        <w:rPr/>
      </w:pPr>
      <w:r>
        <w:rPr>
          <w:color w:val="00000A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>
        <w:rPr>
          <w:b/>
          <w:bCs/>
          <w:color w:val="00000A"/>
        </w:rPr>
        <w:t xml:space="preserve">„Szpitale Pomorskie Sp. z o.o. w Gdyni, lokalizacja w Gdańsku: </w:t>
      </w:r>
      <w:bookmarkStart w:id="2" w:name="__DdeLink__8371_823985888"/>
      <w:r>
        <w:rPr>
          <w:b/>
          <w:bCs/>
          <w:color w:val="00000A"/>
        </w:rPr>
        <w:t xml:space="preserve">80-214 Gdańsk, ul. </w:t>
      </w:r>
      <w:bookmarkEnd w:id="2"/>
      <w:r>
        <w:rPr>
          <w:b/>
          <w:bCs/>
          <w:color w:val="00000A"/>
        </w:rPr>
        <w:t>Smoluchowskiego 18 - Konkurs ofert nr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000000"/>
        </w:rPr>
        <w:t>75/2018</w:t>
      </w:r>
      <w:r>
        <w:rPr>
          <w:b/>
          <w:bCs/>
          <w:color w:val="FF0000"/>
        </w:rPr>
        <w:t xml:space="preserve">  </w:t>
      </w:r>
      <w:r>
        <w:rPr>
          <w:b/>
          <w:color w:val="00000A"/>
        </w:rPr>
        <w:t>– (zakres oferty).</w:t>
      </w:r>
      <w:r>
        <w:rPr>
          <w:b/>
          <w:bCs/>
          <w:color w:val="00000A"/>
        </w:rPr>
        <w:t xml:space="preserve"> Nie otwierać przed 4.12.2018 r. o godz. 10.00”</w:t>
      </w:r>
      <w:r>
        <w:rPr>
          <w:color w:val="00000A"/>
        </w:rPr>
        <w:t xml:space="preserve"> </w:t>
      </w:r>
      <w:r>
        <w:rPr>
          <w:color w:val="00000A"/>
          <w:u w:val="single"/>
        </w:rPr>
        <w:t>– składać w Sekretariacie Szpitala Zakaźnego w lokalizacji w Gdańsku do dnia 4.12.2018 r. do godz. 9.30 tel. (58) 341-53-10.</w:t>
      </w:r>
    </w:p>
    <w:p>
      <w:pPr>
        <w:pStyle w:val="Western"/>
        <w:numPr>
          <w:ilvl w:val="0"/>
          <w:numId w:val="6"/>
        </w:numPr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  <w:t>Zamknięcie koperty powinno wykluczać możliwość jej przypadkowego otwarcia. Koperta nie może być przezroczysta.</w:t>
      </w:r>
    </w:p>
    <w:p>
      <w:pPr>
        <w:pStyle w:val="Western"/>
        <w:numPr>
          <w:ilvl w:val="0"/>
          <w:numId w:val="6"/>
        </w:numPr>
        <w:spacing w:lineRule="auto" w:line="240" w:beforeAutospacing="0" w:before="0" w:after="0"/>
        <w:jc w:val="both"/>
        <w:rPr/>
      </w:pPr>
      <w:r>
        <w:rPr>
          <w:color w:val="00000A"/>
        </w:rPr>
        <w:t>Informacji w sprawach formalnych konkursu ofert udziela –Dział Kadr i Płac  w dniach od poniedziałku do piątku w godz. 8.30 – 14:30, tel. (58) 341-40-41wew 293, zaś w sprawach merytorycznych – Dyrektor ds. pielęgniarstwa –</w:t>
      </w:r>
      <w:r>
        <w:rPr/>
        <w:t xml:space="preserve"> Hanna Necel </w:t>
      </w:r>
      <w:r>
        <w:rPr>
          <w:color w:val="000000"/>
        </w:rPr>
        <w:t>(58) 341-40-41 wew. 292</w:t>
      </w:r>
    </w:p>
    <w:p>
      <w:pPr>
        <w:pStyle w:val="Western"/>
        <w:numPr>
          <w:ilvl w:val="0"/>
          <w:numId w:val="6"/>
        </w:numPr>
        <w:spacing w:lineRule="auto" w:line="240" w:beforeAutospacing="0" w:before="0" w:after="0"/>
        <w:jc w:val="both"/>
        <w:rPr/>
      </w:pPr>
      <w:r>
        <w:rPr/>
        <w:t xml:space="preserve">Z materiałami informacyjnymi o przedmiocie konkursu, w tym z projektami umów można zapoznać się w  Dziale Kadr i Płac, </w:t>
      </w:r>
      <w:r>
        <w:rPr>
          <w:b/>
          <w:bCs/>
        </w:rPr>
        <w:t xml:space="preserve">ul. Smoluchowskiego 18, 80-214 Gdańsk </w:t>
      </w:r>
      <w:r>
        <w:rPr/>
        <w:t xml:space="preserve">w dniach od poniedziałku do piątku w godz. 7:30  – 14:30, tel. (58) 341-40-41 wew 293  </w:t>
      </w:r>
      <w:r>
        <w:rPr>
          <w:b/>
        </w:rPr>
        <w:t xml:space="preserve">- </w:t>
      </w:r>
      <w:r>
        <w:rPr/>
        <w:t>formularze ofert udostępni oferentom w/w Dział.</w:t>
      </w:r>
      <w:r>
        <w:rPr>
          <w:b/>
        </w:rPr>
        <w:t xml:space="preserve"> S</w:t>
      </w:r>
      <w:r>
        <w:rPr/>
        <w:t xml:space="preserve">WKO oraz formularze ofert (bez projektów umów) dostępne są również na stronie internetowej </w:t>
      </w:r>
      <w:hyperlink r:id="rId2">
        <w:r>
          <w:rPr>
            <w:rStyle w:val="Czeinternetowe"/>
          </w:rPr>
          <w:t>www.szpitalepomorskie.eu</w:t>
        </w:r>
      </w:hyperlink>
      <w:r>
        <w:rPr/>
        <w:t>. Dokumenty są dostępne od dnia ogłoszenia o konkursie.</w:t>
      </w:r>
    </w:p>
    <w:p>
      <w:pPr>
        <w:pStyle w:val="Western"/>
        <w:spacing w:lineRule="auto" w:line="240" w:beforeAutospacing="0" w:before="0" w:after="0"/>
        <w:ind w:left="36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Western"/>
        <w:spacing w:lineRule="auto" w:line="276" w:beforeAutospacing="0" w:before="0" w:after="0"/>
        <w:jc w:val="both"/>
        <w:rPr>
          <w:b/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  <w:t xml:space="preserve">VII. MIEJSCE I TERMIN SKŁADANIA I OTWARCIA OFERT </w:t>
      </w:r>
    </w:p>
    <w:p>
      <w:pPr>
        <w:pStyle w:val="Western"/>
        <w:spacing w:lineRule="auto" w:line="276" w:beforeAutospacing="0" w:before="0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Western"/>
        <w:numPr>
          <w:ilvl w:val="0"/>
          <w:numId w:val="7"/>
        </w:numPr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  <w:t>Oferty należy składać osobiście lub pocztą w lokalizacji Udzielającego zamówienia Szpitale Pomorskie Sp. z o.o.: Szpitale Pomorskie Sp. z o.o. , w lokalizacji ul. Smoluchowskiego 18, 80-214 Gdańsk</w:t>
      </w:r>
      <w:r>
        <w:rPr>
          <w:b/>
          <w:color w:val="00000A"/>
        </w:rPr>
        <w:t xml:space="preserve"> w Sekretariacie </w:t>
      </w:r>
      <w:r>
        <w:rPr>
          <w:color w:val="00000A"/>
        </w:rPr>
        <w:t>w lokalizacji ul. Smoluchowskiego 18, 80-214 Gdańsk</w:t>
      </w:r>
      <w:r>
        <w:rPr>
          <w:iCs/>
          <w:color w:val="00000A"/>
        </w:rPr>
        <w:t xml:space="preserve"> </w:t>
      </w:r>
      <w:r>
        <w:rPr>
          <w:b/>
          <w:color w:val="00000A"/>
        </w:rPr>
        <w:t xml:space="preserve">tel. (58) 341-53-10 </w:t>
      </w:r>
      <w:r>
        <w:rPr>
          <w:color w:val="00000A"/>
        </w:rPr>
        <w:t xml:space="preserve">- </w:t>
      </w:r>
      <w:r>
        <w:rPr>
          <w:b/>
          <w:color w:val="00000A"/>
        </w:rPr>
        <w:t>do</w:t>
      </w:r>
      <w:r>
        <w:rPr>
          <w:b/>
          <w:bCs/>
          <w:color w:val="00000A"/>
        </w:rPr>
        <w:t xml:space="preserve"> dnia </w:t>
      </w:r>
      <w:r>
        <w:rPr>
          <w:b/>
          <w:color w:val="00000A"/>
        </w:rPr>
        <w:t>4.12.</w:t>
      </w:r>
      <w:r>
        <w:rPr>
          <w:b/>
          <w:bCs/>
          <w:color w:val="00000A"/>
        </w:rPr>
        <w:t>2018 r. do godz. 9.30.</w:t>
      </w:r>
    </w:p>
    <w:p>
      <w:pPr>
        <w:pStyle w:val="Western"/>
        <w:numPr>
          <w:ilvl w:val="0"/>
          <w:numId w:val="7"/>
        </w:numPr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>
      <w:pPr>
        <w:pStyle w:val="Western"/>
        <w:numPr>
          <w:ilvl w:val="0"/>
          <w:numId w:val="7"/>
        </w:numPr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  <w:t>Oferta, która wpłynie do Udzielającego zamówienia po upływie terminu składania ofert, będzie odesłana bez otwierania.</w:t>
      </w:r>
    </w:p>
    <w:p>
      <w:pPr>
        <w:pStyle w:val="Western"/>
        <w:numPr>
          <w:ilvl w:val="0"/>
          <w:numId w:val="7"/>
        </w:numPr>
        <w:spacing w:lineRule="auto" w:line="240" w:beforeAutospacing="0" w:before="0" w:after="0"/>
        <w:jc w:val="both"/>
        <w:rPr>
          <w:color w:val="00000A"/>
        </w:rPr>
      </w:pPr>
      <w:r>
        <w:rPr>
          <w:b/>
          <w:bCs/>
          <w:color w:val="00000A"/>
        </w:rPr>
        <w:t xml:space="preserve">Otwarcie ofert na w/w świadczenia nastąpi w </w:t>
      </w:r>
      <w:r>
        <w:rPr>
          <w:b/>
          <w:color w:val="00000A"/>
        </w:rPr>
        <w:t>nastąpi w Sali Konferencyjnej Spółki przy ul. Smoluchowskiego 18, 80-214 Gdańsk</w:t>
      </w:r>
      <w:r>
        <w:rPr>
          <w:b/>
          <w:bCs/>
          <w:color w:val="00000A"/>
        </w:rPr>
        <w:t>,</w:t>
      </w:r>
      <w:r>
        <w:rPr>
          <w:b/>
          <w:color w:val="00000A"/>
        </w:rPr>
        <w:t xml:space="preserve"> </w:t>
      </w:r>
      <w:r>
        <w:rPr>
          <w:b/>
          <w:bCs/>
          <w:color w:val="00000A"/>
        </w:rPr>
        <w:t xml:space="preserve">w dniu </w:t>
      </w:r>
      <w:r>
        <w:rPr>
          <w:b/>
          <w:color w:val="00000A"/>
        </w:rPr>
        <w:t>4.12.</w:t>
      </w:r>
      <w:r>
        <w:rPr>
          <w:b/>
          <w:bCs/>
          <w:color w:val="00000A"/>
        </w:rPr>
        <w:t xml:space="preserve"> 2018 r. o godz. 10.00. </w:t>
      </w:r>
    </w:p>
    <w:p>
      <w:pPr>
        <w:pStyle w:val="Western"/>
        <w:spacing w:lineRule="auto" w:line="240" w:beforeAutospacing="0" w:before="0" w:after="0"/>
        <w:ind w:left="36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Western"/>
        <w:spacing w:lineRule="auto" w:line="276" w:beforeAutospacing="0" w:before="0" w:after="0"/>
        <w:jc w:val="both"/>
        <w:rPr>
          <w:b/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  <w:t>VIII. TERMIN ZWIĄZANIA OFERTĄ</w:t>
      </w:r>
    </w:p>
    <w:p>
      <w:pPr>
        <w:pStyle w:val="Western"/>
        <w:spacing w:lineRule="auto" w:line="276" w:beforeAutospacing="0" w:before="0" w:after="0"/>
        <w:jc w:val="both"/>
        <w:rPr>
          <w:b/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</w:r>
    </w:p>
    <w:p>
      <w:pPr>
        <w:pStyle w:val="Western"/>
        <w:numPr>
          <w:ilvl w:val="0"/>
          <w:numId w:val="13"/>
        </w:numPr>
        <w:tabs>
          <w:tab w:val="left" w:pos="426" w:leader="none"/>
        </w:tabs>
        <w:spacing w:lineRule="auto" w:line="240" w:beforeAutospacing="0" w:before="0" w:after="0"/>
        <w:ind w:left="426" w:hanging="360"/>
        <w:jc w:val="both"/>
        <w:rPr>
          <w:color w:val="00000A"/>
        </w:rPr>
      </w:pPr>
      <w:r>
        <w:rPr>
          <w:color w:val="00000A"/>
        </w:rPr>
        <w:t>Oferent jest związany ofertą przez okres 30 dni licząc od dnia, w którym upływa termin składania ofert.</w:t>
      </w:r>
    </w:p>
    <w:p>
      <w:pPr>
        <w:pStyle w:val="Western"/>
        <w:numPr>
          <w:ilvl w:val="0"/>
          <w:numId w:val="13"/>
        </w:numPr>
        <w:tabs>
          <w:tab w:val="left" w:pos="426" w:leader="none"/>
        </w:tabs>
        <w:spacing w:lineRule="auto" w:line="240" w:beforeAutospacing="0" w:before="0" w:after="0"/>
        <w:ind w:left="426" w:hanging="360"/>
        <w:jc w:val="both"/>
        <w:rPr>
          <w:color w:val="00000A"/>
        </w:rPr>
      </w:pPr>
      <w:r>
        <w:rPr>
          <w:color w:val="00000A"/>
        </w:rPr>
        <w:t>Oferent może wyrazić zgodę na przedłużenie okresu związania oferta o czas wskazany przez Udzielającego zamówienia, nie dłużej niż 60 dni.</w:t>
      </w:r>
    </w:p>
    <w:p>
      <w:pPr>
        <w:pStyle w:val="Western"/>
        <w:spacing w:lineRule="auto" w:line="240" w:beforeAutospacing="0" w:before="0" w:after="0"/>
        <w:ind w:left="720" w:hanging="0"/>
        <w:jc w:val="both"/>
        <w:rPr>
          <w:color w:val="00000A"/>
        </w:rPr>
      </w:pPr>
      <w:r>
        <w:rPr>
          <w:color w:val="00000A"/>
        </w:rPr>
      </w:r>
    </w:p>
    <w:p>
      <w:pPr>
        <w:pStyle w:val="Western"/>
        <w:spacing w:lineRule="auto" w:line="240" w:beforeAutospacing="0" w:before="0" w:after="0"/>
        <w:jc w:val="both"/>
        <w:rPr>
          <w:b/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  <w:t xml:space="preserve">IX. KRYTERIA OCENY OFERT </w:t>
      </w:r>
    </w:p>
    <w:p>
      <w:pPr>
        <w:pStyle w:val="Western"/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Western"/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  <w:t xml:space="preserve">Przy wyborze oferty Oferentów spełniających wymagania konieczne Komisja Konkursowa będzie się kierowała następującymi kryteriami: </w:t>
      </w:r>
    </w:p>
    <w:p>
      <w:pPr>
        <w:pStyle w:val="Western"/>
        <w:spacing w:lineRule="auto" w:line="240" w:beforeAutospacing="0" w:before="0" w:after="0"/>
        <w:jc w:val="both"/>
        <w:rPr>
          <w:color w:val="00000A"/>
        </w:rPr>
      </w:pPr>
      <w:r>
        <w:rPr>
          <w:b/>
          <w:bCs/>
          <w:color w:val="00000A"/>
        </w:rPr>
        <w:br/>
        <w:t>C - cena (80%)</w:t>
      </w:r>
    </w:p>
    <w:p>
      <w:pPr>
        <w:pStyle w:val="Western"/>
        <w:spacing w:lineRule="auto" w:line="240" w:beforeAutospacing="0" w:before="0" w:after="0"/>
        <w:jc w:val="both"/>
        <w:rPr>
          <w:color w:val="00000A"/>
        </w:rPr>
      </w:pPr>
      <w:r>
        <w:rPr>
          <w:b/>
          <w:bCs/>
          <w:color w:val="00000A"/>
        </w:rPr>
        <w:t>O - suma punktów za kryteria oceny punktowanej – zakres medyczny (20%)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color w:val="00000A"/>
        </w:rPr>
      </w:pPr>
      <w:r>
        <w:rPr>
          <w:rFonts w:ascii="Times New Roman" w:hAnsi="Times New Roman"/>
          <w:b/>
          <w:bCs/>
          <w:color w:val="00000A"/>
        </w:rPr>
        <w:t xml:space="preserve">Cena </w:t>
      </w:r>
      <w:r>
        <w:rPr>
          <w:rFonts w:ascii="Times New Roman" w:hAnsi="Times New Roman"/>
          <w:color w:val="00000A"/>
        </w:rPr>
        <w:t xml:space="preserve">proponowanych usług medycznych – waga </w:t>
      </w:r>
      <w:r>
        <w:rPr>
          <w:rFonts w:ascii="Times New Roman" w:hAnsi="Times New Roman"/>
          <w:b/>
          <w:bCs/>
          <w:color w:val="00000A"/>
        </w:rPr>
        <w:t>80%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</w:r>
    </w:p>
    <w:p>
      <w:pPr>
        <w:pStyle w:val="Western"/>
        <w:spacing w:lineRule="auto" w:line="240" w:beforeAutospacing="0" w:before="0" w:after="0"/>
        <w:ind w:left="2126" w:hanging="0"/>
        <w:jc w:val="both"/>
        <w:rPr>
          <w:color w:val="00000A"/>
        </w:rPr>
      </w:pPr>
      <w:r>
        <w:rPr>
          <w:color w:val="00000A"/>
        </w:rPr>
        <w:t>najniższa cena oferty dla danej pozycji</w:t>
      </w:r>
    </w:p>
    <w:p>
      <w:pPr>
        <w:pStyle w:val="Western"/>
        <w:spacing w:lineRule="auto" w:line="240" w:beforeAutospacing="0" w:before="0" w:after="0"/>
        <w:ind w:firstLine="709"/>
        <w:jc w:val="both"/>
        <w:rPr>
          <w:color w:val="00000A"/>
        </w:rPr>
      </w:pPr>
      <w:r>
        <w:rPr>
          <w:color w:val="00000A"/>
        </w:rPr>
        <w:t>Wg wzoru: x = ................................................................. x 80% x 100</w:t>
      </w:r>
    </w:p>
    <w:p>
      <w:pPr>
        <w:pStyle w:val="Western"/>
        <w:spacing w:lineRule="auto" w:line="240" w:beforeAutospacing="0" w:before="0" w:after="0"/>
        <w:ind w:left="2124" w:firstLine="708"/>
        <w:jc w:val="both"/>
        <w:rPr>
          <w:color w:val="00000A"/>
        </w:rPr>
      </w:pPr>
      <w:r>
        <w:rPr>
          <w:color w:val="00000A"/>
        </w:rPr>
        <w:t xml:space="preserve">cena badanej oferty </w:t>
      </w:r>
    </w:p>
    <w:p>
      <w:pPr>
        <w:pStyle w:val="Western"/>
        <w:spacing w:lineRule="auto" w:line="240" w:beforeAutospacing="0" w:before="0" w:after="0"/>
        <w:ind w:left="2124" w:firstLine="708"/>
        <w:jc w:val="both"/>
        <w:rPr>
          <w:color w:val="00000A"/>
        </w:rPr>
      </w:pPr>
      <w:r>
        <w:rPr>
          <w:color w:val="00000A"/>
        </w:rPr>
      </w:r>
    </w:p>
    <w:p>
      <w:pPr>
        <w:pStyle w:val="Western"/>
        <w:spacing w:lineRule="auto" w:line="240" w:beforeAutospacing="0" w:before="0" w:after="0"/>
        <w:jc w:val="both"/>
        <w:rPr>
          <w:b/>
          <w:b/>
          <w:bCs/>
          <w:color w:val="00000A"/>
        </w:rPr>
      </w:pPr>
      <w:r>
        <w:rPr>
          <w:b/>
          <w:bCs/>
          <w:color w:val="00000A"/>
        </w:rPr>
        <w:t xml:space="preserve">Ocenie podlegać będzie cena oferty wyliczona według kalkulacji wskazanej w Załączniku nr 1. </w:t>
      </w:r>
    </w:p>
    <w:p>
      <w:pPr>
        <w:pStyle w:val="Western"/>
        <w:spacing w:lineRule="auto" w:line="240" w:beforeAutospacing="0" w:before="0" w:after="0"/>
        <w:jc w:val="both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Western"/>
        <w:spacing w:lineRule="auto" w:line="240" w:beforeAutospacing="0" w:before="0" w:after="0"/>
        <w:jc w:val="both"/>
        <w:rPr>
          <w:color w:val="00000A"/>
        </w:rPr>
      </w:pPr>
      <w:r>
        <w:rPr>
          <w:b/>
          <w:bCs/>
          <w:color w:val="00000A"/>
        </w:rPr>
        <w:t>Do oceny kryterium CENA brana będzie pod uwagę cena (Cena ofertowa) wskazanego zakresu.</w:t>
      </w:r>
    </w:p>
    <w:p>
      <w:pPr>
        <w:pStyle w:val="Western"/>
        <w:spacing w:lineRule="atLeast" w:line="249" w:beforeAutospacing="0" w:before="0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Western"/>
        <w:spacing w:lineRule="atLeast" w:line="249" w:beforeAutospacing="0" w:before="0" w:after="0"/>
        <w:jc w:val="both"/>
        <w:rPr>
          <w:color w:val="00000A"/>
        </w:rPr>
      </w:pPr>
      <w:r>
        <w:rPr>
          <w:color w:val="00000A"/>
        </w:rPr>
        <w:t xml:space="preserve">Cena ofertowa powinna być wyrażona w walucie polskiej oraz powinna zawierać wszystkie koszty związane z realizacją zamówienia – w tym ewentualne rabaty. </w:t>
      </w:r>
    </w:p>
    <w:p>
      <w:pPr>
        <w:pStyle w:val="Western"/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Western"/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  <w:t>Uwaga: Cena ofertowa nie obejmuje dodatku dla ratowników medycznych,  tj. wzrostu wynagrodzenia wynikającego z  rozporządzenia Ministra Zdrowia z dnia 12 lipca 2018r. zmieniającego rozporządzenie w sprawie ogólnych warunków umów o udzielenie świadczeń opieki zdrowotnej (Dz.U. 2018 poz. 1373).</w:t>
      </w:r>
    </w:p>
    <w:p>
      <w:pPr>
        <w:pStyle w:val="Western"/>
        <w:spacing w:lineRule="auto" w:line="240" w:beforeAutospacing="0" w:before="0" w:after="0"/>
        <w:jc w:val="both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Western"/>
        <w:spacing w:lineRule="auto" w:line="240" w:beforeAutospacing="0" w:before="0" w:after="0"/>
        <w:jc w:val="both"/>
        <w:rPr>
          <w:b/>
          <w:b/>
          <w:bCs/>
          <w:color w:val="00000A"/>
        </w:rPr>
      </w:pPr>
      <w:r>
        <w:rPr>
          <w:b/>
          <w:bCs/>
          <w:color w:val="00000A"/>
        </w:rPr>
        <w:t xml:space="preserve">O - suma punktów za kryteria oceny punktowanej – zakres medyczny </w:t>
      </w:r>
      <w:r>
        <w:rPr>
          <w:color w:val="00000A"/>
        </w:rPr>
        <w:t xml:space="preserve">– suma ilości punktów wynikających z Formularza ofertowego – Kryteria oceny punktowej oferty – waga </w:t>
      </w:r>
      <w:r>
        <w:rPr>
          <w:b/>
          <w:bCs/>
          <w:color w:val="00000A"/>
        </w:rPr>
        <w:t>20%</w:t>
      </w:r>
    </w:p>
    <w:p>
      <w:pPr>
        <w:pStyle w:val="Western"/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Western"/>
        <w:spacing w:lineRule="auto" w:line="240" w:beforeAutospacing="0" w:before="0" w:after="0"/>
        <w:ind w:left="2499" w:firstLine="333"/>
        <w:jc w:val="both"/>
        <w:rPr>
          <w:color w:val="00000A"/>
        </w:rPr>
      </w:pPr>
      <w:r>
        <w:rPr>
          <w:color w:val="00000A"/>
        </w:rPr>
        <w:t xml:space="preserve">liczba pkt w badanej ofercie </w:t>
      </w:r>
    </w:p>
    <w:p>
      <w:pPr>
        <w:pStyle w:val="Western"/>
        <w:spacing w:lineRule="auto" w:line="240" w:beforeAutospacing="0" w:before="0" w:after="0"/>
        <w:ind w:firstLine="709"/>
        <w:jc w:val="both"/>
        <w:rPr>
          <w:color w:val="00000A"/>
        </w:rPr>
      </w:pPr>
      <w:r>
        <w:rPr>
          <w:color w:val="00000A"/>
        </w:rPr>
        <w:t>Wg wzoru: o = ...................................................................................... x 20% x 100</w:t>
      </w:r>
    </w:p>
    <w:p>
      <w:pPr>
        <w:pStyle w:val="Western"/>
        <w:spacing w:lineRule="auto" w:line="240" w:beforeAutospacing="0" w:before="0" w:after="0"/>
        <w:ind w:left="1791" w:firstLine="333"/>
        <w:jc w:val="both"/>
        <w:rPr>
          <w:color w:val="00000A"/>
        </w:rPr>
      </w:pPr>
      <w:r>
        <w:rPr>
          <w:color w:val="00000A"/>
        </w:rPr>
        <w:t>najwyższa liczba pkt wykazana w złożonych ofertach</w:t>
      </w:r>
    </w:p>
    <w:p>
      <w:pPr>
        <w:pStyle w:val="Western"/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Western"/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  <w:t>Najkorzystniejszą ofertą dla danego zakresu będzie oferta, której suma punktacji z obu kryteriów będzie najwyższa (najbardziej zbliżona do 100 punktów).</w:t>
      </w:r>
    </w:p>
    <w:p>
      <w:pPr>
        <w:pStyle w:val="Western"/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Western"/>
        <w:spacing w:lineRule="auto" w:line="276" w:beforeAutospacing="0" w:before="0" w:after="0"/>
        <w:jc w:val="both"/>
        <w:rPr>
          <w:b/>
          <w:b/>
          <w:bCs/>
          <w:color w:val="00000A"/>
          <w:u w:val="single"/>
        </w:rPr>
      </w:pPr>
      <w:r>
        <w:rPr>
          <w:b/>
          <w:bCs/>
          <w:color w:val="00000A"/>
        </w:rPr>
        <w:t xml:space="preserve">X. </w:t>
      </w:r>
      <w:r>
        <w:rPr>
          <w:b/>
          <w:bCs/>
          <w:color w:val="00000A"/>
          <w:u w:val="single"/>
        </w:rPr>
        <w:t>SPOSÓB ROZPATRZENIA OFERTY</w:t>
      </w:r>
    </w:p>
    <w:p>
      <w:pPr>
        <w:pStyle w:val="Western"/>
        <w:spacing w:lineRule="auto" w:line="276" w:beforeAutospacing="0" w:before="0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Western"/>
        <w:numPr>
          <w:ilvl w:val="0"/>
          <w:numId w:val="8"/>
        </w:numPr>
        <w:tabs>
          <w:tab w:val="left" w:pos="360" w:leader="none"/>
        </w:tabs>
        <w:spacing w:lineRule="auto" w:line="240" w:beforeAutospacing="0" w:before="0" w:after="0"/>
        <w:ind w:left="360" w:hanging="360"/>
        <w:jc w:val="both"/>
        <w:rPr>
          <w:color w:val="00000A"/>
        </w:rPr>
      </w:pPr>
      <w:r>
        <w:rPr>
          <w:color w:val="00000A"/>
        </w:rPr>
        <w:t>Postępowanie konkursowe przeprowadzi komisja konkursowa powołana przez Udzielającego zamówienia.</w:t>
      </w:r>
    </w:p>
    <w:p>
      <w:pPr>
        <w:pStyle w:val="Western"/>
        <w:numPr>
          <w:ilvl w:val="0"/>
          <w:numId w:val="8"/>
        </w:numPr>
        <w:tabs>
          <w:tab w:val="left" w:pos="360" w:leader="none"/>
        </w:tabs>
        <w:spacing w:lineRule="auto" w:line="240" w:beforeAutospacing="0" w:before="0" w:after="0"/>
        <w:ind w:left="360" w:hanging="360"/>
        <w:jc w:val="both"/>
        <w:rPr>
          <w:color w:val="00000A"/>
        </w:rPr>
      </w:pPr>
      <w:r>
        <w:rPr>
          <w:color w:val="00000A"/>
        </w:rPr>
        <w:t>Komisja konkursowa obradująca na wspólnym posiedzeniu dokonuje oceny spełnienia warunków koniecznych przez Oferentów oraz oceny złożonych ofert.</w:t>
      </w:r>
    </w:p>
    <w:p>
      <w:pPr>
        <w:pStyle w:val="Western"/>
        <w:numPr>
          <w:ilvl w:val="0"/>
          <w:numId w:val="8"/>
        </w:numPr>
        <w:tabs>
          <w:tab w:val="left" w:pos="360" w:leader="none"/>
        </w:tabs>
        <w:spacing w:lineRule="auto" w:line="240" w:beforeAutospacing="0" w:before="0" w:after="0"/>
        <w:ind w:left="360" w:hanging="360"/>
        <w:jc w:val="both"/>
        <w:rPr>
          <w:color w:val="00000A"/>
        </w:rPr>
      </w:pPr>
      <w:r>
        <w:rPr>
          <w:color w:val="00000A"/>
        </w:rPr>
        <w:t xml:space="preserve">Przed oceną merytoryczną ofert komisja konkursowa w pierwszej kolejności sprawdzi wymogi formalne ofert oraz kompletność załączonej dokumentacji. </w:t>
      </w:r>
    </w:p>
    <w:p>
      <w:pPr>
        <w:pStyle w:val="Western"/>
        <w:numPr>
          <w:ilvl w:val="0"/>
          <w:numId w:val="8"/>
        </w:numPr>
        <w:tabs>
          <w:tab w:val="left" w:pos="360" w:leader="none"/>
        </w:tabs>
        <w:spacing w:lineRule="auto" w:line="240" w:beforeAutospacing="0" w:before="0" w:after="0"/>
        <w:ind w:left="360" w:hanging="360"/>
        <w:jc w:val="both"/>
        <w:rPr>
          <w:color w:val="00000A"/>
        </w:rPr>
      </w:pPr>
      <w:r>
        <w:rPr>
          <w:color w:val="00000A"/>
        </w:rPr>
        <w:t>Komisja następnie sprawdzi czy każda z ofert spełnia wymagane warunki określone w punkcie V Szczegółowych Warunków Konkursu Ofert oraz wynikające z ustawy z dnia 15 kwietnia 2011 r. o działalności leczniczej (t.j. Dz.U.2018 poz. 160 ze zm.) oraz stosowanych odpowiednio przepisów ustawy z dnia 27 sierpnia 2004 r. o świadczeniach zdrowotnych finansowanych ze środków publicznych (j.t. Dz.U. z 2018 r. poz. 1510 ze zm.).</w:t>
      </w:r>
    </w:p>
    <w:p>
      <w:pPr>
        <w:pStyle w:val="Western"/>
        <w:numPr>
          <w:ilvl w:val="0"/>
          <w:numId w:val="8"/>
        </w:numPr>
        <w:tabs>
          <w:tab w:val="left" w:pos="360" w:leader="none"/>
        </w:tabs>
        <w:spacing w:lineRule="auto" w:line="240" w:beforeAutospacing="0" w:before="0" w:after="0"/>
        <w:ind w:left="354" w:hanging="357"/>
        <w:jc w:val="both"/>
        <w:rPr>
          <w:color w:val="00000A"/>
        </w:rPr>
      </w:pPr>
      <w:r>
        <w:rPr>
          <w:color w:val="00000A"/>
        </w:rPr>
        <w:t>W niniejszym postępowaniu odrzuca się ofertę:</w:t>
      </w:r>
    </w:p>
    <w:p>
      <w:pPr>
        <w:pStyle w:val="Western"/>
        <w:spacing w:lineRule="auto" w:line="240" w:beforeAutospacing="0" w:before="0" w:after="0"/>
        <w:ind w:left="65" w:firstLine="284"/>
        <w:jc w:val="both"/>
        <w:rPr>
          <w:color w:val="00000A"/>
        </w:rPr>
      </w:pPr>
      <w:r>
        <w:rPr>
          <w:color w:val="00000A"/>
        </w:rPr>
        <w:t>5.1. złożoną po terminie;</w:t>
      </w:r>
    </w:p>
    <w:p>
      <w:pPr>
        <w:pStyle w:val="Western"/>
        <w:spacing w:lineRule="auto" w:line="240" w:beforeAutospacing="0" w:before="0" w:after="0"/>
        <w:ind w:left="65" w:firstLine="284"/>
        <w:jc w:val="both"/>
        <w:rPr>
          <w:color w:val="00000A"/>
        </w:rPr>
      </w:pPr>
      <w:r>
        <w:rPr>
          <w:color w:val="00000A"/>
        </w:rPr>
        <w:t>5.2. zawierającą nieprawdziwe informacje;</w:t>
        <w:tab/>
        <w:tab/>
        <w:tab/>
        <w:tab/>
        <w:tab/>
        <w:tab/>
        <w:tab/>
      </w:r>
    </w:p>
    <w:p>
      <w:pPr>
        <w:pStyle w:val="Western"/>
        <w:spacing w:lineRule="auto" w:line="240" w:beforeAutospacing="0" w:before="0" w:after="0"/>
        <w:ind w:left="349" w:hanging="0"/>
        <w:jc w:val="both"/>
        <w:rPr>
          <w:color w:val="00000A"/>
        </w:rPr>
      </w:pPr>
      <w:r>
        <w:rPr>
          <w:color w:val="00000A"/>
        </w:rPr>
        <w:t>5.3. jeżeli Oferent nie określił przedmiotu oferty lub nie podał proponowanej ceny świadczeń  opieki zdrowotnej;</w:t>
        <w:tab/>
        <w:tab/>
        <w:tab/>
        <w:tab/>
        <w:tab/>
        <w:tab/>
        <w:tab/>
        <w:tab/>
        <w:tab/>
        <w:tab/>
      </w:r>
    </w:p>
    <w:p>
      <w:pPr>
        <w:pStyle w:val="Western"/>
        <w:spacing w:lineRule="auto" w:line="240" w:beforeAutospacing="0" w:before="0" w:after="0"/>
        <w:ind w:left="65" w:firstLine="284"/>
        <w:jc w:val="both"/>
        <w:rPr>
          <w:color w:val="00000A"/>
        </w:rPr>
      </w:pPr>
      <w:r>
        <w:rPr>
          <w:color w:val="00000A"/>
        </w:rPr>
        <w:t>5.4. jeżeli zawiera rażąco niską cenę w stosunku do przedmiotu zamówienia;</w:t>
        <w:tab/>
        <w:tab/>
      </w:r>
    </w:p>
    <w:p>
      <w:pPr>
        <w:pStyle w:val="Western"/>
        <w:spacing w:lineRule="auto" w:line="240" w:beforeAutospacing="0" w:before="0" w:after="0"/>
        <w:ind w:left="65" w:firstLine="284"/>
        <w:jc w:val="both"/>
        <w:rPr>
          <w:color w:val="00000A"/>
        </w:rPr>
      </w:pPr>
      <w:r>
        <w:rPr>
          <w:color w:val="00000A"/>
        </w:rPr>
        <w:t>5.5. jeżeli jest nieważna na podstawie odrębnych przepisów;</w:t>
        <w:tab/>
        <w:tab/>
        <w:tab/>
        <w:tab/>
      </w:r>
    </w:p>
    <w:p>
      <w:pPr>
        <w:pStyle w:val="Western"/>
        <w:spacing w:lineRule="auto" w:line="240" w:beforeAutospacing="0" w:before="0" w:after="0"/>
        <w:ind w:left="65" w:firstLine="284"/>
        <w:jc w:val="both"/>
        <w:rPr>
          <w:color w:val="00000A"/>
        </w:rPr>
      </w:pPr>
      <w:r>
        <w:rPr>
          <w:color w:val="00000A"/>
        </w:rPr>
        <w:t>5.6. jeżeli Oferent złożył ofertę alternatywną;</w:t>
        <w:tab/>
        <w:tab/>
        <w:tab/>
        <w:tab/>
        <w:tab/>
      </w:r>
    </w:p>
    <w:p>
      <w:pPr>
        <w:pStyle w:val="Western"/>
        <w:spacing w:lineRule="auto" w:line="240" w:beforeAutospacing="0" w:before="0" w:after="0"/>
        <w:ind w:left="349" w:hanging="0"/>
        <w:jc w:val="both"/>
        <w:rPr>
          <w:color w:val="00000A"/>
        </w:rPr>
      </w:pPr>
      <w:r>
        <w:rPr>
          <w:color w:val="00000A"/>
        </w:rPr>
        <w:t>5.7 jeżeli Oferent lub oferta nie spełniają wymaganych warunków określonych w przepisach prawa oraz warunków określonych w niniejszych warunkach konkursu,</w:t>
        <w:tab/>
        <w:tab/>
        <w:tab/>
      </w:r>
    </w:p>
    <w:p>
      <w:pPr>
        <w:pStyle w:val="Western"/>
        <w:spacing w:lineRule="auto" w:line="240" w:beforeAutospacing="0" w:before="0" w:after="0"/>
        <w:ind w:left="349" w:hanging="0"/>
        <w:jc w:val="both"/>
        <w:rPr>
          <w:color w:val="00000A"/>
        </w:rPr>
      </w:pPr>
      <w:r>
        <w:rPr>
          <w:color w:val="00000A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>
      <w:pPr>
        <w:pStyle w:val="Western"/>
        <w:numPr>
          <w:ilvl w:val="0"/>
          <w:numId w:val="9"/>
        </w:numPr>
        <w:tabs>
          <w:tab w:val="left" w:pos="360" w:leader="none"/>
        </w:tabs>
        <w:spacing w:lineRule="auto" w:line="240" w:beforeAutospacing="0" w:before="0" w:after="0"/>
        <w:ind w:left="354" w:hanging="357"/>
        <w:jc w:val="both"/>
        <w:rPr>
          <w:color w:val="00000A"/>
        </w:rPr>
      </w:pPr>
      <w:r>
        <w:rPr>
          <w:color w:val="00000A"/>
        </w:rPr>
        <w:t>W przypadku, gdy braki, o których mowa w ust. 5, dotyczą tylko części oferty, ofertę można odrzucić w części dotkniętej brakiem.</w:t>
      </w:r>
    </w:p>
    <w:p>
      <w:pPr>
        <w:pStyle w:val="Western"/>
        <w:numPr>
          <w:ilvl w:val="0"/>
          <w:numId w:val="9"/>
        </w:numPr>
        <w:tabs>
          <w:tab w:val="left" w:pos="360" w:leader="none"/>
        </w:tabs>
        <w:spacing w:lineRule="auto" w:line="240" w:beforeAutospacing="0" w:before="0" w:after="0"/>
        <w:ind w:left="360" w:hanging="360"/>
        <w:jc w:val="both"/>
        <w:rPr>
          <w:color w:val="00000A"/>
        </w:rPr>
      </w:pPr>
      <w:r>
        <w:rPr>
          <w:color w:val="00000A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>
      <w:pPr>
        <w:pStyle w:val="Western"/>
        <w:numPr>
          <w:ilvl w:val="0"/>
          <w:numId w:val="9"/>
        </w:numPr>
        <w:tabs>
          <w:tab w:val="left" w:pos="360" w:leader="none"/>
        </w:tabs>
        <w:spacing w:lineRule="auto" w:line="240" w:beforeAutospacing="0" w:before="0" w:after="0"/>
        <w:ind w:left="360" w:hanging="360"/>
        <w:jc w:val="both"/>
        <w:rPr>
          <w:color w:val="00000A"/>
        </w:rPr>
      </w:pPr>
      <w:r>
        <w:rPr>
          <w:color w:val="00000A"/>
        </w:rPr>
        <w:t>W toku postępowania komisja konkursowa może żądać od Oferenta ubiegającego się o zawarcie umowy złożenia wyjaśnień dotyczących złożonych ofert i załączonych dokumentów.</w:t>
      </w:r>
    </w:p>
    <w:p>
      <w:pPr>
        <w:pStyle w:val="ListParagraph"/>
        <w:numPr>
          <w:ilvl w:val="0"/>
          <w:numId w:val="9"/>
        </w:numPr>
        <w:tabs>
          <w:tab w:val="left" w:pos="360" w:leader="none"/>
        </w:tabs>
        <w:spacing w:lineRule="auto" w:line="240" w:before="0" w:after="0"/>
        <w:ind w:left="360" w:hanging="360"/>
        <w:contextualSpacing/>
        <w:jc w:val="both"/>
        <w:rPr>
          <w:rFonts w:ascii="Times New Roman" w:hAnsi="Times New Roman" w:eastAsia="Times New Roman"/>
          <w:color w:val="00000A"/>
          <w:lang w:eastAsia="pl-PL"/>
        </w:rPr>
      </w:pPr>
      <w:r>
        <w:rPr>
          <w:rFonts w:eastAsia="Times New Roman" w:ascii="Times New Roman" w:hAnsi="Times New Roman"/>
          <w:color w:val="00000A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>
      <w:pPr>
        <w:pStyle w:val="ListParagraph"/>
        <w:numPr>
          <w:ilvl w:val="0"/>
          <w:numId w:val="9"/>
        </w:numPr>
        <w:tabs>
          <w:tab w:val="left" w:pos="360" w:leader="none"/>
        </w:tabs>
        <w:spacing w:lineRule="auto" w:line="240" w:before="0" w:after="0"/>
        <w:ind w:left="360" w:hanging="360"/>
        <w:contextualSpacing/>
        <w:jc w:val="both"/>
        <w:rPr>
          <w:rFonts w:ascii="Times New Roman" w:hAnsi="Times New Roman" w:eastAsia="Times New Roman"/>
          <w:color w:val="00000A"/>
          <w:lang w:eastAsia="pl-PL"/>
        </w:rPr>
      </w:pPr>
      <w:r>
        <w:rPr>
          <w:rFonts w:eastAsia="Times New Roman" w:ascii="Times New Roman" w:hAnsi="Times New Roman"/>
          <w:color w:val="00000A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>
      <w:pPr>
        <w:pStyle w:val="ListParagraph"/>
        <w:numPr>
          <w:ilvl w:val="0"/>
          <w:numId w:val="9"/>
        </w:numPr>
        <w:tabs>
          <w:tab w:val="left" w:pos="360" w:leader="none"/>
        </w:tabs>
        <w:spacing w:lineRule="auto" w:line="240" w:before="0" w:after="0"/>
        <w:ind w:left="360" w:hanging="360"/>
        <w:contextualSpacing/>
        <w:jc w:val="both"/>
        <w:rPr>
          <w:rFonts w:ascii="Times New Roman" w:hAnsi="Times New Roman" w:eastAsia="Times New Roman"/>
          <w:color w:val="00000A"/>
          <w:lang w:eastAsia="pl-PL"/>
        </w:rPr>
      </w:pPr>
      <w:r>
        <w:rPr>
          <w:rFonts w:eastAsia="Times New Roman" w:ascii="Times New Roman" w:hAnsi="Times New Roman"/>
          <w:color w:val="00000A"/>
          <w:lang w:eastAsia="pl-PL"/>
        </w:rPr>
        <w:t>Do negocjacji kwalifikuje się Oferentów, licząc kolejno od najwyższej łącznej oceny uzyskanej na podstawie kryteriów konkursowych.</w:t>
      </w:r>
    </w:p>
    <w:p>
      <w:pPr>
        <w:pStyle w:val="ListParagraph"/>
        <w:numPr>
          <w:ilvl w:val="0"/>
          <w:numId w:val="9"/>
        </w:numPr>
        <w:tabs>
          <w:tab w:val="left" w:pos="360" w:leader="none"/>
        </w:tabs>
        <w:spacing w:lineRule="auto" w:line="240" w:before="0" w:after="0"/>
        <w:ind w:left="360" w:hanging="360"/>
        <w:contextualSpacing/>
        <w:jc w:val="both"/>
        <w:rPr>
          <w:rFonts w:ascii="Times New Roman" w:hAnsi="Times New Roman" w:eastAsia="Times New Roman"/>
          <w:color w:val="00000A"/>
          <w:lang w:eastAsia="pl-PL"/>
        </w:rPr>
      </w:pPr>
      <w:r>
        <w:rPr>
          <w:rFonts w:eastAsia="Times New Roman" w:ascii="Times New Roman" w:hAnsi="Times New Roman"/>
          <w:color w:val="00000A"/>
          <w:lang w:eastAsia="pl-PL"/>
        </w:rPr>
        <w:t>Komisja przeprowadza negocjacje z wszystkimi zaproszonymi Oferentami.</w:t>
      </w:r>
    </w:p>
    <w:p>
      <w:pPr>
        <w:pStyle w:val="ListParagraph"/>
        <w:numPr>
          <w:ilvl w:val="0"/>
          <w:numId w:val="9"/>
        </w:numPr>
        <w:tabs>
          <w:tab w:val="left" w:pos="360" w:leader="none"/>
        </w:tabs>
        <w:spacing w:lineRule="auto" w:line="240" w:before="0" w:after="0"/>
        <w:ind w:left="360" w:hanging="360"/>
        <w:contextualSpacing/>
        <w:jc w:val="both"/>
        <w:rPr>
          <w:rFonts w:ascii="Times New Roman" w:hAnsi="Times New Roman" w:eastAsia="Times New Roman"/>
          <w:color w:val="00000A"/>
          <w:lang w:eastAsia="pl-PL"/>
        </w:rPr>
      </w:pPr>
      <w:r>
        <w:rPr>
          <w:rFonts w:eastAsia="Times New Roman" w:ascii="Times New Roman" w:hAnsi="Times New Roman"/>
          <w:color w:val="00000A"/>
          <w:lang w:eastAsia="pl-PL"/>
        </w:rPr>
        <w:t>Przed dokonaniem wyboru komisja może rozszerzyć listę Oferentów zaproszonych do negocjacji.</w:t>
      </w:r>
    </w:p>
    <w:p>
      <w:pPr>
        <w:pStyle w:val="ListParagraph"/>
        <w:numPr>
          <w:ilvl w:val="0"/>
          <w:numId w:val="9"/>
        </w:numPr>
        <w:tabs>
          <w:tab w:val="left" w:pos="360" w:leader="none"/>
        </w:tabs>
        <w:spacing w:lineRule="auto" w:line="240" w:before="0" w:after="0"/>
        <w:ind w:left="360" w:hanging="360"/>
        <w:contextualSpacing/>
        <w:jc w:val="both"/>
        <w:rPr>
          <w:rFonts w:ascii="Times New Roman" w:hAnsi="Times New Roman" w:eastAsia="Times New Roman"/>
          <w:color w:val="00000A"/>
          <w:lang w:eastAsia="pl-PL"/>
        </w:rPr>
      </w:pPr>
      <w:r>
        <w:rPr>
          <w:rFonts w:eastAsia="Times New Roman" w:ascii="Times New Roman" w:hAnsi="Times New Roman"/>
          <w:color w:val="00000A"/>
          <w:lang w:eastAsia="pl-PL"/>
        </w:rPr>
        <w:t xml:space="preserve">Komisja konkursowa dokumentuje przebieg negocjacji z Oferentami w protokole z negocjacji. </w:t>
      </w:r>
    </w:p>
    <w:p>
      <w:pPr>
        <w:pStyle w:val="ListParagraph"/>
        <w:numPr>
          <w:ilvl w:val="0"/>
          <w:numId w:val="9"/>
        </w:numPr>
        <w:tabs>
          <w:tab w:val="left" w:pos="360" w:leader="none"/>
        </w:tabs>
        <w:spacing w:lineRule="auto" w:line="240" w:before="0" w:after="0"/>
        <w:ind w:left="360" w:hanging="360"/>
        <w:contextualSpacing/>
        <w:jc w:val="both"/>
        <w:rPr>
          <w:rFonts w:ascii="Times New Roman" w:hAnsi="Times New Roman" w:eastAsia="Times New Roman"/>
          <w:color w:val="00000A"/>
          <w:lang w:eastAsia="pl-PL"/>
        </w:rPr>
      </w:pPr>
      <w:r>
        <w:rPr>
          <w:rFonts w:eastAsia="Times New Roman" w:ascii="Times New Roman" w:hAnsi="Times New Roman"/>
          <w:color w:val="00000A"/>
          <w:lang w:eastAsia="pl-PL"/>
        </w:rPr>
        <w:t>Ustalenie w procesie negocjacji ceny nie oznacza dokonania wyboru Oferenta i przyrzeczenia zawarcia umowy.</w:t>
      </w:r>
    </w:p>
    <w:p>
      <w:pPr>
        <w:pStyle w:val="ListParagraph"/>
        <w:tabs>
          <w:tab w:val="left" w:pos="360" w:leader="none"/>
        </w:tabs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/>
          <w:color w:val="00000A"/>
          <w:lang w:eastAsia="pl-PL"/>
        </w:rPr>
      </w:pPr>
      <w:r>
        <w:rPr>
          <w:rFonts w:eastAsia="Times New Roman" w:ascii="Times New Roman" w:hAnsi="Times New Roman"/>
          <w:color w:val="00000A"/>
          <w:lang w:eastAsia="pl-PL"/>
        </w:rPr>
      </w:r>
    </w:p>
    <w:p>
      <w:pPr>
        <w:pStyle w:val="Western"/>
        <w:spacing w:lineRule="auto" w:line="240" w:beforeAutospacing="0" w:before="0" w:after="0"/>
        <w:jc w:val="both"/>
        <w:rPr>
          <w:b/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  <w:t xml:space="preserve">XI. ROZSTRZYGNIĘCIE POSTĘPOWANIA </w:t>
      </w:r>
    </w:p>
    <w:p>
      <w:pPr>
        <w:pStyle w:val="Western"/>
        <w:spacing w:lineRule="auto" w:line="240" w:beforeAutospacing="0" w:before="0" w:after="0"/>
        <w:jc w:val="both"/>
        <w:rPr>
          <w:b/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426" w:hanging="360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Udzielający zamówienia unieważnia postępowanie w sprawie zawarcia umowy o udzielanie świadczeń opieki zdrowotnej, gdy: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hanging="0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1.1. nie wpłynęła żadna oferta;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hanging="0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1.2. wpłynęła jedna oferta niepodlegająca odrzuceniu, z zastrzeżeniem ust. 2;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hanging="0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1.3. odrzucono wszystkie oferty;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hanging="0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>
        <w:rPr>
          <w:rFonts w:ascii="Times New Roman" w:hAnsi="Times New Roman"/>
          <w:color w:val="00000A"/>
          <w:lang w:eastAsia="pl-PL"/>
        </w:rPr>
        <w:t>może zwiększyć tę kwotę do ceny najkorzystniejszej oferty;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hanging="0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426" w:hanging="360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426" w:hanging="360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Jeżeli nie nastąpiło unieważnienie postępowania w sprawie zawarcia umowy o udzielanie świadczeń opieki zdrowotnej, komisja ogłasza o rozstrzygnięciu postępowania konkursowego.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426" w:hanging="360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Udzielający zamówienia zastrzega możliwość wybrania kilku ofert, gdzie zamierza udzielić zamówienia kilku ratownikom medycznym  o największej uzyskanej punktacji, o ile cena oferty nie przekracza kwoty, którą Udzielający zamówienia przeznaczył na realizację zamówienia, celem zakontraktowania całkowitej puli godzin w danym zakresie.</w:t>
      </w:r>
    </w:p>
    <w:p>
      <w:pPr>
        <w:pStyle w:val="Normal"/>
        <w:numPr>
          <w:ilvl w:val="0"/>
          <w:numId w:val="1"/>
        </w:numPr>
        <w:tabs>
          <w:tab w:val="left" w:pos="426" w:leader="none"/>
          <w:tab w:val="left" w:pos="993" w:leader="none"/>
        </w:tabs>
        <w:spacing w:lineRule="auto" w:line="240" w:before="0" w:after="0"/>
        <w:ind w:left="426" w:hanging="360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Rozstrzygnięcie konkursu nastąpi w siedzibie Udzielającego zamówienia w siedzibie Udzielającego zamówienia – Szpitale Pomorskie Sp. z o.o. w lokalizacji ul. Smoluchowskiego 18, 80-214 Gdańsk</w:t>
      </w:r>
      <w:r>
        <w:rPr>
          <w:rFonts w:ascii="Times New Roman" w:hAnsi="Times New Roman"/>
          <w:iCs/>
          <w:color w:val="00000A"/>
        </w:rPr>
        <w:t xml:space="preserve"> </w:t>
      </w:r>
      <w:r>
        <w:rPr>
          <w:rFonts w:ascii="Times New Roman" w:hAnsi="Times New Roman"/>
          <w:color w:val="00000A"/>
        </w:rPr>
        <w:t>w Sekretariacie Spółki,  tel. (58) 341-53-10 dnia 10.12.2018 r.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426" w:hanging="360"/>
        <w:jc w:val="both"/>
        <w:rPr>
          <w:rFonts w:ascii="Times New Roman" w:hAnsi="Times New Roman"/>
          <w:b/>
          <w:b/>
          <w:color w:val="00000A"/>
        </w:rPr>
      </w:pPr>
      <w:r>
        <w:rPr>
          <w:rFonts w:ascii="Times New Roman" w:hAnsi="Times New Roman"/>
          <w:color w:val="00000A"/>
        </w:rPr>
        <w:t>O rozstrzygnięciu konkursu Udzielający zamówienia w ogłosi w dniu rozstrzygnięcia na tablicy ogłoszeń Spółki w lokalizacji ul. Smoluchowskiego 18, 80-214 Gdańsk</w:t>
      </w:r>
      <w:r>
        <w:rPr>
          <w:rFonts w:ascii="Times New Roman" w:hAnsi="Times New Roman"/>
          <w:iCs/>
          <w:color w:val="00000A"/>
        </w:rPr>
        <w:t xml:space="preserve"> oraz </w:t>
      </w:r>
      <w:r>
        <w:rPr>
          <w:rFonts w:ascii="Times New Roman" w:hAnsi="Times New Roman"/>
          <w:color w:val="00000A"/>
        </w:rPr>
        <w:t>w jej siedzibie w Gdyni przy ul. Powstania Styczniowego 1, a także na jego stronie internetowej, zaś Oferenci zostaną powiadomieni drogą elektroniczną lub pisemnie.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426" w:hanging="360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Udzielający zamówienia zastrzega sobie prawo do odwołania konkursu ofert oraz do przedłużenia terminu składania ofert i terminu ogłoszenia rozstrzygnięcia konkursu ofert.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uto" w:line="240" w:before="0" w:after="0"/>
        <w:ind w:left="426" w:hanging="360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bCs/>
          <w:color w:val="00000A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hanging="0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</w:r>
    </w:p>
    <w:p>
      <w:pPr>
        <w:pStyle w:val="Western"/>
        <w:spacing w:lineRule="atLeast" w:line="102" w:beforeAutospacing="0" w:before="0" w:after="0"/>
        <w:jc w:val="both"/>
        <w:rPr>
          <w:b/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  <w:t xml:space="preserve">XII. UMOWA I ROZLICZENIE </w:t>
      </w:r>
    </w:p>
    <w:p>
      <w:pPr>
        <w:pStyle w:val="Western"/>
        <w:spacing w:lineRule="atLeast" w:line="102" w:beforeAutospacing="0" w:before="0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Western"/>
        <w:numPr>
          <w:ilvl w:val="0"/>
          <w:numId w:val="10"/>
        </w:numPr>
        <w:tabs>
          <w:tab w:val="left" w:pos="360" w:leader="none"/>
        </w:tabs>
        <w:spacing w:lineRule="atLeast" w:line="102" w:beforeAutospacing="0" w:before="0" w:after="0"/>
        <w:ind w:left="360" w:hanging="360"/>
        <w:jc w:val="both"/>
        <w:rPr>
          <w:color w:val="00000A"/>
        </w:rPr>
      </w:pPr>
      <w:r>
        <w:rPr>
          <w:color w:val="00000A"/>
        </w:rPr>
        <w:t>Zawarcie umów o udzielenie zamówienia na świadczenia zdrowotne następuje na podstawie wyniku konkursu ofert – niezwłocznie po prawomocnym rozstrzygnięciu konkursu ofert.</w:t>
      </w:r>
    </w:p>
    <w:p>
      <w:pPr>
        <w:pStyle w:val="Western"/>
        <w:numPr>
          <w:ilvl w:val="0"/>
          <w:numId w:val="10"/>
        </w:numPr>
        <w:tabs>
          <w:tab w:val="left" w:pos="360" w:leader="none"/>
        </w:tabs>
        <w:spacing w:lineRule="atLeast" w:line="102" w:beforeAutospacing="0" w:before="0" w:after="0"/>
        <w:ind w:left="360" w:hanging="360"/>
        <w:jc w:val="both"/>
        <w:rPr>
          <w:color w:val="00000A"/>
        </w:rPr>
      </w:pPr>
      <w:r>
        <w:rPr>
          <w:color w:val="00000A"/>
        </w:rPr>
        <w:t xml:space="preserve">Podpisanie umów nastąpi w miejscu i czasie określonym przez Udzielającego zamówienia, w jego siedzibie. </w:t>
      </w:r>
    </w:p>
    <w:p>
      <w:pPr>
        <w:pStyle w:val="NormalWeb"/>
        <w:numPr>
          <w:ilvl w:val="0"/>
          <w:numId w:val="10"/>
        </w:numPr>
        <w:tabs>
          <w:tab w:val="left" w:pos="360" w:leader="none"/>
        </w:tabs>
        <w:spacing w:lineRule="auto" w:line="240" w:beforeAutospacing="0" w:before="0" w:after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Przed podpisaniem umowy Oferent winien złożyć dodatkowo następujące dokumenty:</w:t>
      </w:r>
    </w:p>
    <w:p>
      <w:pPr>
        <w:pStyle w:val="Western"/>
        <w:numPr>
          <w:ilvl w:val="1"/>
          <w:numId w:val="11"/>
        </w:numPr>
        <w:tabs>
          <w:tab w:val="left" w:pos="1080" w:leader="none"/>
        </w:tabs>
        <w:spacing w:lineRule="auto" w:line="240" w:beforeAutospacing="0" w:before="0" w:after="0"/>
        <w:ind w:left="1440" w:hanging="357"/>
        <w:jc w:val="both"/>
        <w:rPr>
          <w:color w:val="00000A"/>
        </w:rPr>
      </w:pPr>
      <w:r>
        <w:rPr>
          <w:color w:val="00000A"/>
        </w:rPr>
        <w:t xml:space="preserve">kopię zaświadczenia lekarskiego o zdolności do pracy; </w:t>
      </w:r>
    </w:p>
    <w:p>
      <w:pPr>
        <w:pStyle w:val="Western"/>
        <w:numPr>
          <w:ilvl w:val="1"/>
          <w:numId w:val="11"/>
        </w:numPr>
        <w:tabs>
          <w:tab w:val="left" w:pos="1080" w:leader="none"/>
        </w:tabs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  <w:t>kopię zaświadczenia o przeszkoleniu BHP;</w:t>
      </w:r>
    </w:p>
    <w:p>
      <w:pPr>
        <w:pStyle w:val="Western"/>
        <w:numPr>
          <w:ilvl w:val="1"/>
          <w:numId w:val="11"/>
        </w:numPr>
        <w:tabs>
          <w:tab w:val="left" w:pos="1080" w:leader="none"/>
        </w:tabs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  <w:t>polisę OC, jeżeli nie została złożona w ofercie konkursowej.</w:t>
      </w:r>
    </w:p>
    <w:p>
      <w:pPr>
        <w:pStyle w:val="NormalWeb"/>
        <w:numPr>
          <w:ilvl w:val="0"/>
          <w:numId w:val="12"/>
        </w:numPr>
        <w:tabs>
          <w:tab w:val="left" w:pos="360" w:leader="none"/>
        </w:tabs>
        <w:spacing w:lineRule="auto" w:line="240" w:beforeAutospacing="0" w:before="0" w:after="0"/>
        <w:ind w:left="354" w:hanging="357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>
      <w:pPr>
        <w:pStyle w:val="NormalWeb"/>
        <w:numPr>
          <w:ilvl w:val="0"/>
          <w:numId w:val="12"/>
        </w:numPr>
        <w:tabs>
          <w:tab w:val="left" w:pos="360" w:leader="none"/>
        </w:tabs>
        <w:spacing w:lineRule="auto" w:line="240" w:beforeAutospacing="0" w:before="0" w:after="0"/>
        <w:ind w:left="360" w:hanging="36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Rachunek/faktura może być wystawiony tylko za świadczenia zdrowotne faktycznie zrealizowane na rzecz Udzielającego zamówienie.</w:t>
      </w:r>
    </w:p>
    <w:p>
      <w:pPr>
        <w:pStyle w:val="NormalWeb"/>
        <w:numPr>
          <w:ilvl w:val="0"/>
          <w:numId w:val="12"/>
        </w:numPr>
        <w:tabs>
          <w:tab w:val="left" w:pos="360" w:leader="none"/>
        </w:tabs>
        <w:spacing w:lineRule="auto" w:line="240" w:beforeAutospacing="0" w:before="0" w:after="0"/>
        <w:ind w:left="360" w:hanging="36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Za datę spełnienia świadczenia przyjmuje się dzień, w którym nastąpiło obciążenie rachunku bankowego Udzielającego zamówienia.</w:t>
      </w:r>
    </w:p>
    <w:p>
      <w:pPr>
        <w:pStyle w:val="NormalWeb"/>
        <w:tabs>
          <w:tab w:val="left" w:pos="360" w:leader="none"/>
        </w:tabs>
        <w:spacing w:lineRule="auto" w:line="240" w:beforeAutospacing="0" w:before="0" w:after="0"/>
        <w:ind w:left="360" w:hanging="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Western"/>
        <w:spacing w:lineRule="auto" w:line="240" w:beforeAutospacing="0" w:before="0" w:after="0"/>
        <w:jc w:val="both"/>
        <w:rPr>
          <w:b/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  <w:t>XIII. ZASADY WNOSZENIA ŚRODKÓW ODWOŁAWCZYCH</w:t>
      </w:r>
    </w:p>
    <w:p>
      <w:pPr>
        <w:pStyle w:val="Western"/>
        <w:spacing w:lineRule="auto" w:line="240" w:beforeAutospacing="0" w:before="0" w:after="0"/>
        <w:jc w:val="both"/>
        <w:rPr>
          <w:b/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</w:r>
    </w:p>
    <w:p>
      <w:pPr>
        <w:pStyle w:val="Normal"/>
        <w:numPr>
          <w:ilvl w:val="0"/>
          <w:numId w:val="14"/>
        </w:numPr>
        <w:tabs>
          <w:tab w:val="left" w:pos="426" w:leader="none"/>
          <w:tab w:val="left" w:pos="2140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>
      <w:pPr>
        <w:pStyle w:val="Normal"/>
        <w:numPr>
          <w:ilvl w:val="0"/>
          <w:numId w:val="14"/>
        </w:numPr>
        <w:tabs>
          <w:tab w:val="left" w:pos="426" w:leader="none"/>
          <w:tab w:val="left" w:pos="2140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Środki odwoławcze nie przysługują na:</w:t>
      </w:r>
    </w:p>
    <w:p>
      <w:pPr>
        <w:pStyle w:val="Normal"/>
        <w:tabs>
          <w:tab w:val="left" w:pos="426" w:leader="none"/>
          <w:tab w:val="left" w:pos="2140" w:leader="none"/>
        </w:tabs>
        <w:spacing w:lineRule="auto" w:line="240" w:before="0" w:after="0"/>
        <w:ind w:left="426" w:hanging="0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2.1. wybór trybu postępowania;</w:t>
      </w:r>
    </w:p>
    <w:p>
      <w:pPr>
        <w:pStyle w:val="Normal"/>
        <w:tabs>
          <w:tab w:val="left" w:pos="851" w:leader="none"/>
        </w:tabs>
        <w:spacing w:lineRule="auto" w:line="240" w:before="0" w:after="0"/>
        <w:ind w:left="426" w:hanging="0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2.2. niedokonanie wyboru Przyjmującego zamówienie;</w:t>
      </w:r>
    </w:p>
    <w:p>
      <w:pPr>
        <w:pStyle w:val="Normal"/>
        <w:tabs>
          <w:tab w:val="left" w:pos="851" w:leader="none"/>
        </w:tabs>
        <w:spacing w:lineRule="auto" w:line="240" w:before="0" w:after="0"/>
        <w:ind w:left="426" w:hanging="0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2.3. unieważnienie postępowania konkursowego w sprawie zawarcia umowy o udzielanie świadczeń opieki zdrowotnej.</w:t>
      </w:r>
    </w:p>
    <w:p>
      <w:pPr>
        <w:pStyle w:val="Tretekstu"/>
        <w:numPr>
          <w:ilvl w:val="0"/>
          <w:numId w:val="14"/>
        </w:numPr>
        <w:tabs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00000A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>
        <w:rPr>
          <w:rFonts w:ascii="Times New Roman" w:hAnsi="Times New Roman"/>
          <w:color w:val="00000A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>
      <w:pPr>
        <w:pStyle w:val="Tretekstu"/>
        <w:numPr>
          <w:ilvl w:val="0"/>
          <w:numId w:val="14"/>
        </w:numPr>
        <w:tabs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Do czasu rozpatrzenia protestu postępowanie konkursowe ulega zawieszeniu, chyba że z treści protestu wynika, że jest on oczywiście bezzasadny.</w:t>
      </w:r>
    </w:p>
    <w:p>
      <w:pPr>
        <w:pStyle w:val="Tretekstu"/>
        <w:numPr>
          <w:ilvl w:val="0"/>
          <w:numId w:val="14"/>
        </w:numPr>
        <w:tabs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Komisja rozpatruje i rozstrzyga protest w ciągu 7 dni od dnia jego otrzymania i udziela pisemnej odpowiedzi składającemu protest. Nieuwzględnienie protestu wymaga uzasadnienia.</w:t>
      </w:r>
    </w:p>
    <w:p>
      <w:pPr>
        <w:pStyle w:val="Tretekstu"/>
        <w:numPr>
          <w:ilvl w:val="0"/>
          <w:numId w:val="14"/>
        </w:numPr>
        <w:tabs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Protest złożony po terminie nie podlega rozpatrzeniu.</w:t>
      </w:r>
    </w:p>
    <w:p>
      <w:pPr>
        <w:pStyle w:val="Tretekstu"/>
        <w:numPr>
          <w:ilvl w:val="0"/>
          <w:numId w:val="14"/>
        </w:numPr>
        <w:tabs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Informację o wniesieniu protestu i jego rozstrzygnięciu niezwłocznie zamieszcza się na tablicy ogłoszeń oraz na stronie internetowej Udzielającego zamówienia.</w:t>
      </w:r>
    </w:p>
    <w:p>
      <w:pPr>
        <w:pStyle w:val="Tretekstu"/>
        <w:numPr>
          <w:ilvl w:val="0"/>
          <w:numId w:val="14"/>
        </w:numPr>
        <w:tabs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W przypadku uwzględnienia protestu komisja powtarza zaskarżoną czynność.</w:t>
      </w:r>
    </w:p>
    <w:p>
      <w:pPr>
        <w:pStyle w:val="Tretekstu"/>
        <w:numPr>
          <w:ilvl w:val="0"/>
          <w:numId w:val="14"/>
        </w:numPr>
        <w:tabs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00000A"/>
        </w:rPr>
      </w:pPr>
      <w:bookmarkStart w:id="6" w:name="JEDN_SGML_ID=25114218"/>
      <w:bookmarkStart w:id="7" w:name="JEDN_SGML_ID_CHLD=251140383"/>
      <w:bookmarkStart w:id="8" w:name="JEDN_SGML_ID=25114208"/>
      <w:bookmarkStart w:id="9" w:name="JEDN_SGML_ID=25114217"/>
      <w:bookmarkEnd w:id="6"/>
      <w:bookmarkEnd w:id="7"/>
      <w:bookmarkEnd w:id="8"/>
      <w:bookmarkEnd w:id="9"/>
      <w:r>
        <w:rPr>
          <w:rFonts w:ascii="Times New Roman" w:hAnsi="Times New Roman"/>
          <w:color w:val="00000A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</w:p>
    <w:p>
      <w:pPr>
        <w:pStyle w:val="Tretekstu"/>
        <w:numPr>
          <w:ilvl w:val="0"/>
          <w:numId w:val="14"/>
        </w:numPr>
        <w:tabs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Odwołanie rozpatrywane jest w terminie 7 dni od dnia jego otrzymania. Wniesienie odwołania wstrzymuje zawarcie umowy o udzielanie świadczeń opieki zdrowotnej do czasu jego rozpatrzenia.</w:t>
      </w:r>
    </w:p>
    <w:p>
      <w:pPr>
        <w:pStyle w:val="Tretekstu"/>
        <w:numPr>
          <w:ilvl w:val="0"/>
          <w:numId w:val="14"/>
        </w:numPr>
        <w:tabs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>
      <w:pPr>
        <w:pStyle w:val="Tretekstu"/>
        <w:numPr>
          <w:ilvl w:val="0"/>
          <w:numId w:val="14"/>
        </w:numPr>
        <w:tabs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W przypadku uwzględnienia odwołania, przeprowadza się ponownie postępowanie </w:t>
        <w:br/>
        <w:t>o udzielanie zamówienia.</w:t>
      </w:r>
    </w:p>
    <w:p>
      <w:pPr>
        <w:pStyle w:val="Tretekstu"/>
        <w:numPr>
          <w:ilvl w:val="0"/>
          <w:numId w:val="14"/>
        </w:numPr>
        <w:tabs>
          <w:tab w:val="left" w:pos="426" w:leader="none"/>
          <w:tab w:val="left" w:pos="2140" w:leader="none"/>
          <w:tab w:val="left" w:pos="4556" w:leader="none"/>
        </w:tabs>
        <w:spacing w:lineRule="auto" w:line="240" w:before="0" w:after="0"/>
        <w:ind w:left="426" w:hanging="426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Udzielający zamówienia zastrzega sobie prawo do odwołania konkursu w całości lub odwołania konkursu  - w każdym czasie lub przesunięcia terminów składania lub otwarcia ofert, bądź terminu rozstrzygnięcia konkursu ofert - bez podawania przyczyny.</w:t>
      </w:r>
    </w:p>
    <w:p>
      <w:pPr>
        <w:pStyle w:val="Western"/>
        <w:spacing w:lineRule="auto" w:line="240" w:beforeAutospacing="0" w:before="0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Western"/>
        <w:spacing w:lineRule="atLeast" w:line="102" w:beforeAutospacing="0" w:before="0" w:after="0"/>
        <w:ind w:left="5664" w:hanging="0"/>
        <w:jc w:val="both"/>
        <w:rPr>
          <w:color w:val="00000A"/>
        </w:rPr>
      </w:pPr>
      <w:r>
        <w:rPr>
          <w:color w:val="00000A"/>
        </w:rPr>
        <w:t xml:space="preserve">Zarząd </w:t>
      </w:r>
    </w:p>
    <w:p>
      <w:pPr>
        <w:pStyle w:val="Western"/>
        <w:spacing w:lineRule="atLeast" w:line="102" w:beforeAutospacing="0" w:before="0" w:after="0"/>
        <w:ind w:left="4956" w:hanging="0"/>
        <w:jc w:val="both"/>
        <w:rPr>
          <w:color w:val="00000A"/>
        </w:rPr>
      </w:pPr>
      <w:r>
        <w:rPr>
          <w:color w:val="00000A"/>
        </w:rPr>
        <w:t>Szpitali Pomorskich Sp. z o.o.</w:t>
      </w:r>
    </w:p>
    <w:p>
      <w:pPr>
        <w:pStyle w:val="Western"/>
        <w:spacing w:lineRule="atLeast" w:line="391" w:beforeAutospacing="0" w:before="0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Western"/>
        <w:spacing w:lineRule="atLeast" w:line="391" w:beforeAutospacing="0" w:before="0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Western"/>
        <w:spacing w:lineRule="atLeast" w:line="391" w:beforeAutospacing="0" w:before="0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Western"/>
        <w:spacing w:lineRule="atLeast" w:line="391" w:beforeAutospacing="0" w:before="0" w:after="0"/>
        <w:jc w:val="both"/>
        <w:rPr>
          <w:color w:val="00000A"/>
        </w:rPr>
      </w:pPr>
      <w:r>
        <w:rPr>
          <w:color w:val="00000A"/>
        </w:rPr>
      </w:r>
    </w:p>
    <w:p>
      <w:pPr>
        <w:pStyle w:val="Western"/>
        <w:spacing w:lineRule="atLeast" w:line="391" w:beforeAutospacing="0" w:before="0" w:after="0"/>
        <w:jc w:val="both"/>
        <w:rPr>
          <w:color w:val="00000A"/>
        </w:rPr>
      </w:pPr>
      <w:r>
        <w:rPr>
          <w:color w:val="00000A"/>
        </w:rPr>
        <w:t>Gdynia, dnia  22 listopada 2018 r.</w:t>
      </w:r>
    </w:p>
    <w:p>
      <w:pPr>
        <w:pStyle w:val="Normal"/>
        <w:tabs>
          <w:tab w:val="left" w:pos="706" w:leader="none"/>
        </w:tabs>
        <w:spacing w:lineRule="exact" w:line="250" w:before="0" w:after="0"/>
        <w:jc w:val="both"/>
        <w:rPr>
          <w:rFonts w:ascii="Times New Roman" w:hAnsi="Times New Roman" w:eastAsia="Times New Roman"/>
          <w:b/>
          <w:b/>
          <w:color w:val="FF0000"/>
        </w:rPr>
      </w:pPr>
      <w:r>
        <w:rPr>
          <w:rFonts w:eastAsia="Times New Roman" w:ascii="Times New Roman" w:hAnsi="Times New Roman"/>
          <w:b/>
          <w:color w:val="FF0000"/>
        </w:rPr>
      </w:r>
    </w:p>
    <w:p>
      <w:pPr>
        <w:pStyle w:val="Normal"/>
        <w:tabs>
          <w:tab w:val="left" w:pos="706" w:leader="none"/>
        </w:tabs>
        <w:spacing w:lineRule="exact" w:line="250" w:before="0" w:after="0"/>
        <w:jc w:val="both"/>
        <w:rPr>
          <w:rFonts w:ascii="Times New Roman" w:hAnsi="Times New Roman" w:eastAsia="Times New Roman"/>
          <w:b/>
          <w:b/>
          <w:color w:val="FF0000"/>
        </w:rPr>
      </w:pPr>
      <w:r>
        <w:rPr>
          <w:rFonts w:eastAsia="Times New Roman" w:ascii="Times New Roman" w:hAnsi="Times New Roman"/>
          <w:b/>
          <w:color w:val="FF0000"/>
        </w:rPr>
      </w:r>
    </w:p>
    <w:p>
      <w:pPr>
        <w:pStyle w:val="Normal"/>
        <w:tabs>
          <w:tab w:val="left" w:pos="706" w:leader="none"/>
        </w:tabs>
        <w:spacing w:lineRule="exact" w:line="250" w:before="0" w:after="0"/>
        <w:jc w:val="both"/>
        <w:rPr>
          <w:rFonts w:ascii="Times New Roman" w:hAnsi="Times New Roman" w:eastAsia="Times New Roman"/>
          <w:b/>
          <w:b/>
          <w:color w:val="FF0000"/>
        </w:rPr>
      </w:pPr>
      <w:r>
        <w:rPr>
          <w:rFonts w:eastAsia="Times New Roman" w:ascii="Times New Roman" w:hAnsi="Times New Roman"/>
          <w:b/>
          <w:color w:val="FF0000"/>
        </w:rPr>
      </w:r>
    </w:p>
    <w:p>
      <w:pPr>
        <w:pStyle w:val="Normal"/>
        <w:tabs>
          <w:tab w:val="left" w:pos="706" w:leader="none"/>
        </w:tabs>
        <w:spacing w:lineRule="exact" w:line="250" w:before="0" w:after="0"/>
        <w:jc w:val="both"/>
        <w:rPr>
          <w:rFonts w:ascii="Times New Roman" w:hAnsi="Times New Roman" w:eastAsia="Times New Roman"/>
          <w:b/>
          <w:b/>
          <w:color w:val="FF0000"/>
        </w:rPr>
      </w:pPr>
      <w:r>
        <w:rPr>
          <w:rFonts w:eastAsia="Times New Roman" w:ascii="Times New Roman" w:hAnsi="Times New Roman"/>
          <w:b/>
          <w:color w:val="FF0000"/>
        </w:rPr>
      </w:r>
    </w:p>
    <w:p>
      <w:pPr>
        <w:pStyle w:val="Normal"/>
        <w:tabs>
          <w:tab w:val="left" w:pos="706" w:leader="none"/>
        </w:tabs>
        <w:spacing w:lineRule="exact" w:line="250" w:before="0" w:after="0"/>
        <w:jc w:val="both"/>
        <w:rPr>
          <w:rFonts w:ascii="Times New Roman" w:hAnsi="Times New Roman" w:eastAsia="Times New Roman"/>
          <w:b/>
          <w:b/>
          <w:color w:val="FF0000"/>
        </w:rPr>
      </w:pPr>
      <w:r>
        <w:rPr>
          <w:rFonts w:eastAsia="Times New Roman" w:ascii="Times New Roman" w:hAnsi="Times New Roman"/>
          <w:b/>
          <w:color w:val="FF0000"/>
        </w:rPr>
      </w:r>
    </w:p>
    <w:p>
      <w:pPr>
        <w:pStyle w:val="Normal"/>
        <w:tabs>
          <w:tab w:val="left" w:pos="706" w:leader="none"/>
        </w:tabs>
        <w:spacing w:lineRule="exact" w:line="250" w:before="0" w:after="0"/>
        <w:jc w:val="both"/>
        <w:rPr>
          <w:rFonts w:ascii="Times New Roman" w:hAnsi="Times New Roman" w:eastAsia="Times New Roman"/>
          <w:b/>
          <w:b/>
          <w:color w:val="FF0000"/>
        </w:rPr>
      </w:pPr>
      <w:r>
        <w:rPr>
          <w:rFonts w:eastAsia="Times New Roman" w:ascii="Times New Roman" w:hAnsi="Times New Roman"/>
          <w:b/>
          <w:color w:val="FF0000"/>
        </w:rPr>
      </w:r>
    </w:p>
    <w:p>
      <w:pPr>
        <w:pStyle w:val="Normal"/>
        <w:tabs>
          <w:tab w:val="left" w:pos="706" w:leader="none"/>
        </w:tabs>
        <w:spacing w:lineRule="exact" w:line="250" w:before="0" w:after="0"/>
        <w:jc w:val="both"/>
        <w:rPr>
          <w:rFonts w:ascii="Times New Roman" w:hAnsi="Times New Roman" w:eastAsia="Times New Roman"/>
          <w:b/>
          <w:b/>
          <w:color w:val="FF0000"/>
        </w:rPr>
      </w:pPr>
      <w:r>
        <w:rPr>
          <w:rFonts w:eastAsia="Times New Roman" w:ascii="Times New Roman" w:hAnsi="Times New Roman"/>
          <w:b/>
          <w:color w:val="FF0000"/>
        </w:rPr>
      </w:r>
    </w:p>
    <w:p>
      <w:pPr>
        <w:pStyle w:val="Normal"/>
        <w:tabs>
          <w:tab w:val="left" w:pos="706" w:leader="none"/>
        </w:tabs>
        <w:spacing w:lineRule="exact" w:line="250" w:before="0" w:after="0"/>
        <w:jc w:val="both"/>
        <w:rPr>
          <w:rFonts w:ascii="Times New Roman" w:hAnsi="Times New Roman" w:eastAsia="Times New Roman"/>
          <w:b/>
          <w:b/>
          <w:color w:val="FF0000"/>
        </w:rPr>
      </w:pPr>
      <w:r>
        <w:rPr>
          <w:rFonts w:eastAsia="Times New Roman" w:ascii="Times New Roman" w:hAnsi="Times New Roman"/>
          <w:b/>
          <w:color w:val="FF0000"/>
        </w:rPr>
      </w:r>
    </w:p>
    <w:p>
      <w:pPr>
        <w:pStyle w:val="Normal"/>
        <w:tabs>
          <w:tab w:val="left" w:pos="706" w:leader="none"/>
        </w:tabs>
        <w:spacing w:lineRule="exact" w:line="250" w:before="0" w:after="0"/>
        <w:jc w:val="both"/>
        <w:rPr>
          <w:rFonts w:ascii="Times New Roman" w:hAnsi="Times New Roman" w:eastAsia="Times New Roman"/>
          <w:b/>
          <w:b/>
          <w:color w:val="FF0000"/>
        </w:rPr>
      </w:pPr>
      <w:r>
        <w:rPr>
          <w:rFonts w:eastAsia="Times New Roman" w:ascii="Times New Roman" w:hAnsi="Times New Roman"/>
          <w:b/>
          <w:color w:val="FF0000"/>
        </w:rPr>
      </w:r>
    </w:p>
    <w:p>
      <w:pPr>
        <w:pStyle w:val="Normal"/>
        <w:tabs>
          <w:tab w:val="left" w:pos="706" w:leader="none"/>
        </w:tabs>
        <w:spacing w:lineRule="exact" w:line="250" w:before="0" w:after="0"/>
        <w:jc w:val="both"/>
        <w:rPr>
          <w:rFonts w:ascii="Times New Roman" w:hAnsi="Times New Roman" w:eastAsia="Times New Roman"/>
          <w:b/>
          <w:b/>
          <w:color w:val="FF0000"/>
        </w:rPr>
      </w:pPr>
      <w:r>
        <w:rPr>
          <w:rFonts w:eastAsia="Times New Roman" w:ascii="Times New Roman" w:hAnsi="Times New Roman"/>
          <w:b/>
          <w:color w:val="FF0000"/>
        </w:rPr>
      </w:r>
    </w:p>
    <w:p>
      <w:pPr>
        <w:pStyle w:val="Normal"/>
        <w:tabs>
          <w:tab w:val="left" w:pos="706" w:leader="none"/>
        </w:tabs>
        <w:spacing w:lineRule="exact" w:line="250" w:before="0" w:after="0"/>
        <w:jc w:val="both"/>
        <w:rPr>
          <w:rFonts w:ascii="Times New Roman" w:hAnsi="Times New Roman" w:eastAsia="Times New Roman"/>
          <w:b/>
          <w:b/>
          <w:color w:val="FF0000"/>
        </w:rPr>
      </w:pPr>
      <w:r>
        <w:rPr>
          <w:rFonts w:eastAsia="Times New Roman" w:ascii="Times New Roman" w:hAnsi="Times New Roman"/>
          <w:b/>
          <w:color w:val="FF0000"/>
        </w:rPr>
      </w:r>
    </w:p>
    <w:p>
      <w:pPr>
        <w:pStyle w:val="Normal"/>
        <w:tabs>
          <w:tab w:val="left" w:pos="706" w:leader="none"/>
        </w:tabs>
        <w:spacing w:lineRule="exact" w:line="25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6" w:header="568" w:top="1417" w:footer="397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entury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240" w:after="0"/>
      <w:rPr>
        <w:b/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  <w:r>
      <w:rPr>
        <w:b/>
        <w:lang w:eastAsia="pl-PL"/>
      </w:rPr>
      <w:drawing>
        <wp:inline distT="0" distB="0" distL="0" distR="0">
          <wp:extent cx="3822700" cy="231775"/>
          <wp:effectExtent l="0" t="0" r="0" b="0"/>
          <wp:docPr id="4" name="Obraz 2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23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164 480 000,00 zł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drawing>
        <wp:anchor behindDoc="1" distT="0" distB="0" distL="114300" distR="114300" simplePos="0" locked="0" layoutInCell="1" allowOverlap="1" relativeHeight="10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0" b="0"/>
          <wp:wrapSquare wrapText="bothSides"/>
          <wp:docPr id="1" name="Obraz 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1749425" cy="562610"/>
          <wp:effectExtent l="0" t="0" r="0" b="0"/>
          <wp:docPr id="2" name="Obraz 2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</w:p>
  <w:p>
    <w:pPr>
      <w:pStyle w:val="Gwka"/>
      <w:rPr>
        <w:sz w:val="24"/>
        <w:szCs w:val="24"/>
        <w:lang w:eastAsia="pl-PL"/>
      </w:rPr>
    </w:pPr>
    <w:r>
      <w:rPr/>
      <w:tab/>
    </w:r>
    <w:r>
      <w:rPr/>
      <w:drawing>
        <wp:inline distT="0" distB="0" distL="0" distR="0">
          <wp:extent cx="5760720" cy="394970"/>
          <wp:effectExtent l="0" t="0" r="0" b="0"/>
          <wp:docPr id="3" name="Obraz 2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b/>
        <w:szCs w:val="18"/>
        <w:bCs w:val="false"/>
        <w:rFonts w:ascii="Times New Roman" w:hAnsi="Times New Roman" w:eastAsia="Times New Roman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  <w:rFonts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rFonts w:ascii="Times New Roman" w:hAnsi="Times New Roman" w:cs="Times New Roman"/>
        <w:color w:val="00000A"/>
      </w:rPr>
    </w:lvl>
    <w:lvl w:ilvl="1">
      <w:start w:val="1"/>
      <w:numFmt w:val="decimal"/>
      <w:suff w:val="nothing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suff w:val="nothing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suff w:val="nothing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suff w:val="nothing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suff w:val="nothing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suff w:val="nothing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suff w:val="nothing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suff w:val="nothing"/>
      <w:lvlText w:val="%9"/>
      <w:lvlJc w:val="left"/>
      <w:pPr>
        <w:ind w:left="3600" w:hanging="360"/>
      </w:pPr>
      <w:rPr>
        <w:rFonts w:cs="Times New Roman"/>
      </w:rPr>
    </w:lvl>
  </w:abstractNum>
  <w:abstractNum w:abstractNumId="1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45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Nagwek1">
    <w:name w:val="Heading 1"/>
    <w:basedOn w:val="Gwka"/>
    <w:qFormat/>
    <w:rsid w:val="00512b44"/>
    <w:pPr>
      <w:outlineLvl w:val="0"/>
    </w:pPr>
    <w:rPr/>
  </w:style>
  <w:style w:type="paragraph" w:styleId="Nagwek2">
    <w:name w:val="Heading 2"/>
    <w:basedOn w:val="Gwka"/>
    <w:qFormat/>
    <w:rsid w:val="00512b44"/>
    <w:pPr>
      <w:outlineLvl w:val="1"/>
    </w:pPr>
    <w:rPr/>
  </w:style>
  <w:style w:type="paragraph" w:styleId="Nagwek3">
    <w:name w:val="Heading 3"/>
    <w:basedOn w:val="Gwka"/>
    <w:qFormat/>
    <w:rsid w:val="00512b44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8421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8421c"/>
    <w:rPr/>
  </w:style>
  <w:style w:type="character" w:styleId="TekstdymkaZnak" w:customStyle="1">
    <w:name w:val="Tekst dymka Znak"/>
    <w:link w:val="Tekstdymka"/>
    <w:uiPriority w:val="99"/>
    <w:semiHidden/>
    <w:qFormat/>
    <w:rsid w:val="00a8421c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rsid w:val="00b90ae7"/>
    <w:rPr>
      <w:rFonts w:cs="Times New Roman"/>
      <w:color w:val="0000FF"/>
      <w:u w:val="single"/>
    </w:rPr>
  </w:style>
  <w:style w:type="character" w:styleId="Domylnaczcionkaakapitu1" w:customStyle="1">
    <w:name w:val="Domyślna czcionka akapitu1"/>
    <w:qFormat/>
    <w:rsid w:val="007f745c"/>
    <w:rPr/>
  </w:style>
  <w:style w:type="character" w:styleId="Tabulatory" w:customStyle="1">
    <w:name w:val="tabulatory"/>
    <w:basedOn w:val="DefaultParagraphFont"/>
    <w:qFormat/>
    <w:rsid w:val="007f745c"/>
    <w:rPr/>
  </w:style>
  <w:style w:type="character" w:styleId="Strong">
    <w:name w:val="Strong"/>
    <w:basedOn w:val="DefaultParagraphFont"/>
    <w:uiPriority w:val="22"/>
    <w:qFormat/>
    <w:rsid w:val="00f31c2a"/>
    <w:rPr>
      <w:b/>
      <w:bCs/>
    </w:rPr>
  </w:style>
  <w:style w:type="character" w:styleId="TekstpodstawowywcityZnak" w:customStyle="1">
    <w:name w:val="Tekst podstawowy wcięty Znak"/>
    <w:basedOn w:val="DefaultParagraphFont"/>
    <w:link w:val="Wcicietrecitekstu"/>
    <w:uiPriority w:val="99"/>
    <w:qFormat/>
    <w:rsid w:val="004644af"/>
    <w:rPr>
      <w:color w:val="00000A"/>
      <w:sz w:val="22"/>
      <w:szCs w:val="22"/>
      <w:lang w:eastAsia="en-US"/>
    </w:rPr>
  </w:style>
  <w:style w:type="character" w:styleId="TekstpodstawowyZnak" w:customStyle="1">
    <w:name w:val="Tekst podstawowy Znak"/>
    <w:basedOn w:val="DefaultParagraphFont"/>
    <w:link w:val="Tretekstu"/>
    <w:uiPriority w:val="99"/>
    <w:semiHidden/>
    <w:qFormat/>
    <w:rsid w:val="00086002"/>
    <w:rPr>
      <w:sz w:val="22"/>
      <w:szCs w:val="22"/>
      <w:lang w:eastAsia="en-US"/>
    </w:rPr>
  </w:style>
  <w:style w:type="character" w:styleId="ListLabel1" w:customStyle="1">
    <w:name w:val="ListLabel 1"/>
    <w:qFormat/>
    <w:rsid w:val="00512b44"/>
    <w:rPr>
      <w:b/>
    </w:rPr>
  </w:style>
  <w:style w:type="character" w:styleId="ListLabel2" w:customStyle="1">
    <w:name w:val="ListLabel 2"/>
    <w:qFormat/>
    <w:rsid w:val="00512b44"/>
    <w:rPr>
      <w:b/>
    </w:rPr>
  </w:style>
  <w:style w:type="character" w:styleId="ListLabel3" w:customStyle="1">
    <w:name w:val="ListLabel 3"/>
    <w:qFormat/>
    <w:rsid w:val="00512b44"/>
    <w:rPr>
      <w:rFonts w:cs="Courier New"/>
    </w:rPr>
  </w:style>
  <w:style w:type="character" w:styleId="ListLabel4" w:customStyle="1">
    <w:name w:val="ListLabel 4"/>
    <w:qFormat/>
    <w:rsid w:val="00512b44"/>
    <w:rPr>
      <w:rFonts w:eastAsia="Times New Roman" w:cs="Times New Roman"/>
      <w:color w:val="000000"/>
      <w:sz w:val="18"/>
      <w:szCs w:val="18"/>
    </w:rPr>
  </w:style>
  <w:style w:type="character" w:styleId="ListLabel5" w:customStyle="1">
    <w:name w:val="ListLabel 5"/>
    <w:qFormat/>
    <w:rsid w:val="00512b44"/>
    <w:rPr>
      <w:rFonts w:cs="Times New Roman"/>
    </w:rPr>
  </w:style>
  <w:style w:type="character" w:styleId="ListLabel6" w:customStyle="1">
    <w:name w:val="ListLabel 6"/>
    <w:qFormat/>
    <w:rsid w:val="00512b44"/>
    <w:rPr>
      <w:rFonts w:ascii="Times New Roman" w:hAnsi="Times New Roman" w:eastAsia="Times New Roman" w:cs="Arial"/>
      <w:b/>
      <w:bCs w:val="false"/>
      <w:color w:val="000000"/>
      <w:sz w:val="18"/>
      <w:szCs w:val="18"/>
    </w:rPr>
  </w:style>
  <w:style w:type="character" w:styleId="ListLabel7" w:customStyle="1">
    <w:name w:val="ListLabel 7"/>
    <w:qFormat/>
    <w:rsid w:val="00512b44"/>
    <w:rPr>
      <w:rFonts w:cs="Arial"/>
      <w:sz w:val="18"/>
      <w:szCs w:val="18"/>
    </w:rPr>
  </w:style>
  <w:style w:type="character" w:styleId="ListLabel8" w:customStyle="1">
    <w:name w:val="ListLabel 8"/>
    <w:qFormat/>
    <w:rsid w:val="00512b44"/>
    <w:rPr>
      <w:b/>
      <w:color w:val="00000A"/>
    </w:rPr>
  </w:style>
  <w:style w:type="character" w:styleId="ListLabel9" w:customStyle="1">
    <w:name w:val="ListLabel 9"/>
    <w:qFormat/>
    <w:rsid w:val="00512b44"/>
    <w:rPr>
      <w:rFonts w:ascii="Times New Roman" w:hAnsi="Times New Roman" w:cs="Times New Roman"/>
      <w:color w:val="00000A"/>
      <w:sz w:val="20"/>
      <w:szCs w:val="20"/>
    </w:rPr>
  </w:style>
  <w:style w:type="character" w:styleId="ListLabel10" w:customStyle="1">
    <w:name w:val="ListLabel 10"/>
    <w:qFormat/>
    <w:rsid w:val="00512b44"/>
    <w:rPr>
      <w:rFonts w:ascii="Times New Roman" w:hAnsi="Times New Roman" w:eastAsia="Times New Roman" w:cs="Arial"/>
      <w:b/>
      <w:bCs w:val="false"/>
      <w:color w:val="000000"/>
      <w:sz w:val="18"/>
      <w:szCs w:val="18"/>
    </w:rPr>
  </w:style>
  <w:style w:type="character" w:styleId="ListLabel11" w:customStyle="1">
    <w:name w:val="ListLabel 11"/>
    <w:qFormat/>
    <w:rsid w:val="00512b44"/>
    <w:rPr>
      <w:rFonts w:cs="Times New Roman"/>
    </w:rPr>
  </w:style>
  <w:style w:type="character" w:styleId="ListLabel12" w:customStyle="1">
    <w:name w:val="ListLabel 12"/>
    <w:qFormat/>
    <w:rsid w:val="00512b44"/>
    <w:rPr>
      <w:rFonts w:cs="Arial"/>
      <w:sz w:val="18"/>
      <w:szCs w:val="18"/>
    </w:rPr>
  </w:style>
  <w:style w:type="character" w:styleId="ListLabel13" w:customStyle="1">
    <w:name w:val="ListLabel 13"/>
    <w:qFormat/>
    <w:rsid w:val="00512b44"/>
    <w:rPr>
      <w:b/>
      <w:color w:val="00000A"/>
    </w:rPr>
  </w:style>
  <w:style w:type="character" w:styleId="ListLabel14" w:customStyle="1">
    <w:name w:val="ListLabel 14"/>
    <w:qFormat/>
    <w:rsid w:val="00512b44"/>
    <w:rPr>
      <w:b/>
    </w:rPr>
  </w:style>
  <w:style w:type="character" w:styleId="ListLabel15" w:customStyle="1">
    <w:name w:val="ListLabel 15"/>
    <w:qFormat/>
    <w:rsid w:val="00512b44"/>
    <w:rPr>
      <w:rFonts w:ascii="Times New Roman" w:hAnsi="Times New Roman" w:cs="Times New Roman"/>
      <w:color w:val="00000A"/>
      <w:sz w:val="20"/>
      <w:szCs w:val="20"/>
    </w:rPr>
  </w:style>
  <w:style w:type="character" w:styleId="ListLabel16" w:customStyle="1">
    <w:name w:val="ListLabel 16"/>
    <w:qFormat/>
    <w:rsid w:val="00512b44"/>
    <w:rPr>
      <w:rFonts w:ascii="Times New Roman" w:hAnsi="Times New Roman" w:eastAsia="Times New Roman" w:cs="Arial"/>
      <w:b/>
      <w:bCs w:val="false"/>
      <w:color w:val="000000"/>
      <w:sz w:val="18"/>
      <w:szCs w:val="18"/>
    </w:rPr>
  </w:style>
  <w:style w:type="character" w:styleId="ListLabel17" w:customStyle="1">
    <w:name w:val="ListLabel 17"/>
    <w:qFormat/>
    <w:rsid w:val="00512b44"/>
    <w:rPr>
      <w:rFonts w:cs="Times New Roman"/>
    </w:rPr>
  </w:style>
  <w:style w:type="character" w:styleId="ListLabel18" w:customStyle="1">
    <w:name w:val="ListLabel 18"/>
    <w:qFormat/>
    <w:rsid w:val="00512b44"/>
    <w:rPr>
      <w:rFonts w:cs="Arial"/>
      <w:sz w:val="18"/>
      <w:szCs w:val="18"/>
    </w:rPr>
  </w:style>
  <w:style w:type="character" w:styleId="ListLabel19" w:customStyle="1">
    <w:name w:val="ListLabel 19"/>
    <w:qFormat/>
    <w:rsid w:val="00512b44"/>
    <w:rPr>
      <w:b/>
      <w:color w:val="00000A"/>
    </w:rPr>
  </w:style>
  <w:style w:type="character" w:styleId="ListLabel20" w:customStyle="1">
    <w:name w:val="ListLabel 20"/>
    <w:qFormat/>
    <w:rsid w:val="00512b44"/>
    <w:rPr>
      <w:b/>
    </w:rPr>
  </w:style>
  <w:style w:type="character" w:styleId="ListLabel21" w:customStyle="1">
    <w:name w:val="ListLabel 21"/>
    <w:qFormat/>
    <w:rsid w:val="00512b44"/>
    <w:rPr>
      <w:rFonts w:ascii="Times New Roman" w:hAnsi="Times New Roman" w:cs="Times New Roman"/>
      <w:color w:val="00000A"/>
      <w:sz w:val="20"/>
      <w:szCs w:val="20"/>
    </w:rPr>
  </w:style>
  <w:style w:type="character" w:styleId="ListLabel22" w:customStyle="1">
    <w:name w:val="ListLabel 22"/>
    <w:qFormat/>
    <w:rsid w:val="00512b44"/>
    <w:rPr>
      <w:rFonts w:ascii="Times New Roman" w:hAnsi="Times New Roman" w:eastAsia="Times New Roman" w:cs="Arial"/>
      <w:b/>
      <w:bCs w:val="false"/>
      <w:color w:val="000000"/>
      <w:sz w:val="18"/>
      <w:szCs w:val="18"/>
    </w:rPr>
  </w:style>
  <w:style w:type="character" w:styleId="ListLabel23" w:customStyle="1">
    <w:name w:val="ListLabel 23"/>
    <w:qFormat/>
    <w:rsid w:val="00512b44"/>
    <w:rPr>
      <w:rFonts w:cs="Times New Roman"/>
    </w:rPr>
  </w:style>
  <w:style w:type="character" w:styleId="ListLabel24" w:customStyle="1">
    <w:name w:val="ListLabel 24"/>
    <w:qFormat/>
    <w:rsid w:val="00512b44"/>
    <w:rPr>
      <w:rFonts w:cs="Arial"/>
      <w:sz w:val="18"/>
      <w:szCs w:val="18"/>
    </w:rPr>
  </w:style>
  <w:style w:type="character" w:styleId="ListLabel25" w:customStyle="1">
    <w:name w:val="ListLabel 25"/>
    <w:qFormat/>
    <w:rsid w:val="00512b44"/>
    <w:rPr>
      <w:b/>
      <w:color w:val="00000A"/>
    </w:rPr>
  </w:style>
  <w:style w:type="character" w:styleId="ListLabel26" w:customStyle="1">
    <w:name w:val="ListLabel 26"/>
    <w:qFormat/>
    <w:rsid w:val="00512b44"/>
    <w:rPr>
      <w:b/>
    </w:rPr>
  </w:style>
  <w:style w:type="character" w:styleId="ListLabel27" w:customStyle="1">
    <w:name w:val="ListLabel 27"/>
    <w:qFormat/>
    <w:rsid w:val="00512b44"/>
    <w:rPr>
      <w:rFonts w:ascii="Times New Roman" w:hAnsi="Times New Roman" w:cs="Times New Roman"/>
      <w:color w:val="00000A"/>
      <w:sz w:val="20"/>
      <w:szCs w:val="20"/>
    </w:rPr>
  </w:style>
  <w:style w:type="character" w:styleId="ListLabel28">
    <w:name w:val="ListLabel 28"/>
    <w:qFormat/>
    <w:rPr>
      <w:rFonts w:ascii="Times New Roman" w:hAnsi="Times New Roman" w:eastAsia="Times New Roman" w:cs="Arial"/>
      <w:b/>
      <w:bCs w:val="false"/>
      <w:color w:val="000000"/>
      <w:sz w:val="18"/>
      <w:szCs w:val="18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Arial"/>
      <w:sz w:val="18"/>
      <w:szCs w:val="18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b/>
      <w:color w:val="00000A"/>
    </w:rPr>
  </w:style>
  <w:style w:type="character" w:styleId="ListLabel38">
    <w:name w:val="ListLabel 38"/>
    <w:qFormat/>
    <w:rPr>
      <w:b/>
    </w:rPr>
  </w:style>
  <w:style w:type="character" w:styleId="ListLabel39">
    <w:name w:val="ListLabel 39"/>
    <w:qFormat/>
    <w:rPr>
      <w:rFonts w:ascii="Times New Roman" w:hAnsi="Times New Roman" w:cs="Times New Roman"/>
      <w:color w:val="00000A"/>
      <w:sz w:val="20"/>
      <w:szCs w:val="20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Times New Roman"/>
      <w:b w:val="false"/>
      <w:color w:val="00000A"/>
      <w:sz w:val="20"/>
      <w:szCs w:val="18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eastAsia="Times New Roman" w:cs="Times New Roman"/>
    </w:rPr>
  </w:style>
  <w:style w:type="character" w:styleId="ListLabel67">
    <w:name w:val="ListLabel 67"/>
    <w:qFormat/>
    <w:rPr>
      <w:rFonts w:eastAsia="Times New Roman" w:cs="Times New Roman"/>
    </w:rPr>
  </w:style>
  <w:style w:type="character" w:styleId="ListLabel68">
    <w:name w:val="ListLabel 68"/>
    <w:qFormat/>
    <w:rPr/>
  </w:style>
  <w:style w:type="character" w:styleId="ListLabel69">
    <w:name w:val="ListLabel 69"/>
    <w:qFormat/>
    <w:rPr>
      <w:rFonts w:ascii="Times New Roman" w:hAnsi="Times New Roman" w:eastAsia="Times New Roman" w:cs="Arial"/>
      <w:b/>
      <w:bCs w:val="false"/>
      <w:color w:val="000000"/>
      <w:sz w:val="18"/>
      <w:szCs w:val="18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Arial"/>
      <w:sz w:val="18"/>
      <w:szCs w:val="18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b/>
      <w:color w:val="00000A"/>
    </w:rPr>
  </w:style>
  <w:style w:type="character" w:styleId="ListLabel79">
    <w:name w:val="ListLabel 79"/>
    <w:qFormat/>
    <w:rPr>
      <w:b/>
    </w:rPr>
  </w:style>
  <w:style w:type="character" w:styleId="ListLabel80">
    <w:name w:val="ListLabel 80"/>
    <w:qFormat/>
    <w:rPr>
      <w:rFonts w:ascii="Times New Roman" w:hAnsi="Times New Roman" w:cs="Times New Roman"/>
      <w:color w:val="00000A"/>
      <w:sz w:val="20"/>
      <w:szCs w:val="20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link w:val="TekstpodstawowyZnak"/>
    <w:uiPriority w:val="99"/>
    <w:semiHidden/>
    <w:unhideWhenUsed/>
    <w:rsid w:val="00086002"/>
    <w:pPr>
      <w:spacing w:before="0" w:after="120"/>
    </w:pPr>
    <w:rPr/>
  </w:style>
  <w:style w:type="paragraph" w:styleId="Lista">
    <w:name w:val="List"/>
    <w:basedOn w:val="Tretekstu"/>
    <w:rsid w:val="00512b44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12b44"/>
    <w:pPr>
      <w:suppressLineNumbers/>
    </w:pPr>
    <w:rPr>
      <w:rFonts w:cs="Mangal"/>
    </w:rPr>
  </w:style>
  <w:style w:type="paragraph" w:styleId="Gwka" w:customStyle="1">
    <w:name w:val="Header"/>
    <w:basedOn w:val="Normal"/>
    <w:link w:val="NagwekZnak"/>
    <w:uiPriority w:val="99"/>
    <w:unhideWhenUsed/>
    <w:rsid w:val="00a842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ygnatura">
    <w:name w:val="Signature"/>
    <w:basedOn w:val="Normal"/>
    <w:rsid w:val="00512b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"/>
    <w:link w:val="StopkaZnak"/>
    <w:unhideWhenUsed/>
    <w:rsid w:val="00a8421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421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745c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Akapitzlist1" w:customStyle="1">
    <w:name w:val="Akapit z listą1"/>
    <w:basedOn w:val="Normal"/>
    <w:qFormat/>
    <w:rsid w:val="00b959e7"/>
    <w:pPr>
      <w:ind w:left="708" w:hanging="0"/>
    </w:pPr>
    <w:rPr>
      <w:lang w:eastAsia="ar-SA"/>
    </w:rPr>
  </w:style>
  <w:style w:type="paragraph" w:styleId="Normalny1" w:customStyle="1">
    <w:name w:val="Normalny1"/>
    <w:qFormat/>
    <w:rsid w:val="00b959e7"/>
    <w:pPr>
      <w:widowControl w:val="false"/>
      <w:suppressAutoHyphens w:val="true"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0"/>
      <w:lang w:val="pl-PL" w:eastAsia="ar-SA" w:bidi="ar-SA"/>
    </w:rPr>
  </w:style>
  <w:style w:type="paragraph" w:styleId="Standard" w:customStyle="1">
    <w:name w:val="Standard"/>
    <w:qFormat/>
    <w:rsid w:val="007c4740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e83f0a"/>
    <w:pPr>
      <w:spacing w:before="0" w:after="200"/>
      <w:ind w:left="720" w:hanging="0"/>
      <w:contextualSpacing/>
    </w:pPr>
    <w:rPr/>
  </w:style>
  <w:style w:type="paragraph" w:styleId="Akapitzlist2" w:customStyle="1">
    <w:name w:val="Akapit z listą2"/>
    <w:basedOn w:val="Normal"/>
    <w:qFormat/>
    <w:rsid w:val="00251714"/>
    <w:pPr>
      <w:ind w:left="708" w:hanging="0"/>
    </w:pPr>
    <w:rPr>
      <w:lang w:eastAsia="ar-SA"/>
    </w:rPr>
  </w:style>
  <w:style w:type="paragraph" w:styleId="Akapitzlist3" w:customStyle="1">
    <w:name w:val="Akapit z listą3"/>
    <w:basedOn w:val="Normal"/>
    <w:qFormat/>
    <w:rsid w:val="00251714"/>
    <w:pPr>
      <w:ind w:left="708" w:hanging="0"/>
    </w:pPr>
    <w:rPr>
      <w:lang w:eastAsia="ar-SA"/>
    </w:rPr>
  </w:style>
  <w:style w:type="paragraph" w:styleId="Wcicietrecitekstu" w:customStyle="1">
    <w:name w:val="Body Text Indent"/>
    <w:basedOn w:val="Normal"/>
    <w:link w:val="TekstpodstawowywcityZnak"/>
    <w:uiPriority w:val="99"/>
    <w:rsid w:val="004644af"/>
    <w:pPr>
      <w:spacing w:before="0" w:after="120"/>
      <w:ind w:left="283" w:hanging="0"/>
    </w:pPr>
    <w:rPr/>
  </w:style>
  <w:style w:type="paragraph" w:styleId="Western" w:customStyle="1">
    <w:name w:val="western"/>
    <w:basedOn w:val="Normal"/>
    <w:qFormat/>
    <w:rsid w:val="0069431d"/>
    <w:pPr>
      <w:spacing w:lineRule="auto" w:line="288" w:beforeAutospacing="1" w:after="142"/>
    </w:pPr>
    <w:rPr>
      <w:rFonts w:ascii="Times New Roman" w:hAnsi="Times New Roman" w:eastAsia="Times New Roman"/>
      <w:lang w:eastAsia="pl-PL"/>
    </w:rPr>
  </w:style>
  <w:style w:type="paragraph" w:styleId="NormalWeb">
    <w:name w:val="Normal (Web)"/>
    <w:basedOn w:val="Normal"/>
    <w:uiPriority w:val="99"/>
    <w:unhideWhenUsed/>
    <w:qFormat/>
    <w:rsid w:val="000e2a89"/>
    <w:pPr>
      <w:spacing w:lineRule="auto" w:line="288" w:beforeAutospacing="1" w:after="142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Cytaty" w:customStyle="1">
    <w:name w:val="Cytaty"/>
    <w:basedOn w:val="Normal"/>
    <w:qFormat/>
    <w:rsid w:val="00512b44"/>
    <w:pPr/>
    <w:rPr/>
  </w:style>
  <w:style w:type="paragraph" w:styleId="Tytu">
    <w:name w:val="Title"/>
    <w:basedOn w:val="Gwka"/>
    <w:qFormat/>
    <w:rsid w:val="00512b44"/>
    <w:pPr/>
    <w:rPr/>
  </w:style>
  <w:style w:type="paragraph" w:styleId="Podtytu">
    <w:name w:val="Subtitle"/>
    <w:basedOn w:val="Gwka"/>
    <w:qFormat/>
    <w:rsid w:val="00512b44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pitalepomorskie.e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92592-60DB-46CA-B44C-2C03BEE6E9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89D66F-A8DF-4CB7-899E-E8A71ACB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LibreOffice/6.0.1.1$Windows_x86 LibreOffice_project/60bfb1526849283ce2491346ed2aa51c465abfe6</Application>
  <Pages>12</Pages>
  <Words>3021</Words>
  <Characters>19735</Characters>
  <CharactersWithSpaces>22686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2018-11-20T20:27:00Z</dcterms:created>
  <dc:creator>Marek</dc:creator>
  <dc:description/>
  <dc:language>pl-PL</dc:language>
  <cp:lastModifiedBy/>
  <cp:lastPrinted>2018-11-22T10:45:03Z</cp:lastPrinted>
  <dcterms:modified xsi:type="dcterms:W3CDTF">2018-11-22T11:33:41Z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