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41ADE94C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F330B">
        <w:rPr>
          <w:rFonts w:ascii="Times New Roman" w:eastAsia="Times New Roman" w:hAnsi="Times New Roman"/>
          <w:b/>
          <w:sz w:val="28"/>
          <w:szCs w:val="28"/>
        </w:rPr>
        <w:t>1</w:t>
      </w:r>
      <w:r w:rsidR="00207A0D">
        <w:rPr>
          <w:rFonts w:ascii="Times New Roman" w:eastAsia="Times New Roman" w:hAnsi="Times New Roman"/>
          <w:b/>
          <w:sz w:val="28"/>
          <w:szCs w:val="28"/>
        </w:rPr>
        <w:t>11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2117722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207A0D">
        <w:rPr>
          <w:rFonts w:ascii="Times New Roman" w:eastAsia="Times New Roman" w:hAnsi="Times New Roman"/>
          <w:b/>
          <w:spacing w:val="20"/>
          <w:sz w:val="28"/>
          <w:szCs w:val="28"/>
        </w:rPr>
        <w:t>05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207A0D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74EB9D2A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 xml:space="preserve">Gdynia,  </w:t>
      </w:r>
      <w:r w:rsidR="00207A0D">
        <w:rPr>
          <w:rFonts w:ascii="Times New Roman" w:eastAsia="Times New Roman" w:hAnsi="Times New Roman"/>
          <w:b/>
        </w:rPr>
        <w:t>październik</w:t>
      </w:r>
      <w:r w:rsidRPr="00483D94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  <w:bookmarkStart w:id="10" w:name="_GoBack"/>
      <w:bookmarkEnd w:id="10"/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3DA2CFD3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4F330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07A0D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07A0D">
        <w:rPr>
          <w:rFonts w:ascii="Times New Roman" w:eastAsia="Arial" w:hAnsi="Times New Roman"/>
          <w:b/>
          <w:sz w:val="20"/>
          <w:szCs w:val="20"/>
        </w:rPr>
        <w:t>24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4F330B">
        <w:rPr>
          <w:rFonts w:ascii="Times New Roman" w:eastAsia="Arial" w:hAnsi="Times New Roman"/>
          <w:b/>
          <w:sz w:val="20"/>
          <w:szCs w:val="20"/>
        </w:rPr>
        <w:t>10</w:t>
      </w:r>
      <w:r w:rsidRPr="00483D94">
        <w:rPr>
          <w:rFonts w:ascii="Times New Roman" w:eastAsia="Arial" w:hAnsi="Times New Roman"/>
          <w:b/>
          <w:sz w:val="20"/>
          <w:szCs w:val="20"/>
        </w:rPr>
        <w:t>.2022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207A0D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 - tel.  695-954-914.</w:t>
      </w:r>
    </w:p>
    <w:p w14:paraId="71081B83" w14:textId="5A9A7EE0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11EC663E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07A0D">
        <w:rPr>
          <w:rFonts w:ascii="Times New Roman" w:eastAsia="Times New Roman" w:hAnsi="Times New Roman"/>
          <w:b/>
          <w:sz w:val="20"/>
          <w:szCs w:val="20"/>
        </w:rPr>
        <w:t>24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60276FF0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07A0D">
        <w:rPr>
          <w:rFonts w:ascii="Times New Roman" w:eastAsia="Times New Roman" w:hAnsi="Times New Roman"/>
          <w:b/>
          <w:sz w:val="20"/>
          <w:szCs w:val="20"/>
        </w:rPr>
        <w:t>24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2021 r. poz. 1285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0ADBA5B6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207A0D">
        <w:rPr>
          <w:rFonts w:ascii="Times New Roman" w:hAnsi="Times New Roman"/>
          <w:b/>
          <w:sz w:val="20"/>
          <w:szCs w:val="20"/>
        </w:rPr>
        <w:t>25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7E6FCA">
        <w:rPr>
          <w:rFonts w:ascii="Times New Roman" w:hAnsi="Times New Roman"/>
          <w:b/>
          <w:sz w:val="20"/>
          <w:szCs w:val="20"/>
        </w:rPr>
        <w:t>1</w:t>
      </w:r>
      <w:r w:rsidR="004F330B">
        <w:rPr>
          <w:rFonts w:ascii="Times New Roman" w:hAnsi="Times New Roman"/>
          <w:b/>
          <w:sz w:val="20"/>
          <w:szCs w:val="20"/>
        </w:rPr>
        <w:t>1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18AC054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207A0D">
        <w:rPr>
          <w:rFonts w:ascii="Times New Roman" w:hAnsi="Times New Roman"/>
          <w:b/>
          <w:sz w:val="20"/>
          <w:szCs w:val="20"/>
        </w:rPr>
        <w:t>27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4F330B">
        <w:rPr>
          <w:rFonts w:ascii="Times New Roman" w:hAnsi="Times New Roman"/>
          <w:b/>
          <w:sz w:val="20"/>
          <w:szCs w:val="20"/>
        </w:rPr>
        <w:t>10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73DC041A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207A0D">
        <w:rPr>
          <w:rFonts w:ascii="Times New Roman" w:hAnsi="Times New Roman"/>
          <w:b/>
          <w:sz w:val="20"/>
          <w:szCs w:val="20"/>
        </w:rPr>
        <w:t>25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7E6FCA">
        <w:rPr>
          <w:rFonts w:ascii="Times New Roman" w:hAnsi="Times New Roman"/>
          <w:b/>
          <w:sz w:val="20"/>
          <w:szCs w:val="20"/>
        </w:rPr>
        <w:t>1</w:t>
      </w:r>
      <w:r w:rsidR="004F330B">
        <w:rPr>
          <w:rFonts w:ascii="Times New Roman" w:hAnsi="Times New Roman"/>
          <w:b/>
          <w:sz w:val="20"/>
          <w:szCs w:val="20"/>
        </w:rPr>
        <w:t>1</w:t>
      </w:r>
      <w:r w:rsidRPr="00483D94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1DD29963" w14:textId="7DAD00CA" w:rsidR="003C2AF8" w:rsidRPr="000C7229" w:rsidRDefault="005019AC" w:rsidP="000C722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773D9FDC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207A0D">
        <w:rPr>
          <w:rFonts w:ascii="Times New Roman" w:hAnsi="Times New Roman"/>
          <w:b/>
          <w:sz w:val="20"/>
          <w:szCs w:val="20"/>
        </w:rPr>
        <w:t>10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207A0D">
        <w:rPr>
          <w:rFonts w:ascii="Times New Roman" w:hAnsi="Times New Roman"/>
          <w:b/>
          <w:sz w:val="20"/>
          <w:szCs w:val="20"/>
        </w:rPr>
        <w:t>10</w:t>
      </w:r>
      <w:r w:rsidRPr="00483D94">
        <w:rPr>
          <w:rFonts w:ascii="Times New Roman" w:hAnsi="Times New Roman"/>
          <w:b/>
          <w:sz w:val="20"/>
          <w:szCs w:val="20"/>
        </w:rPr>
        <w:t>.2022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6FEC3825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207A0D">
        <w:rPr>
          <w:rFonts w:ascii="Times New Roman" w:eastAsia="Times New Roman" w:hAnsi="Times New Roman"/>
          <w:sz w:val="20"/>
          <w:szCs w:val="20"/>
        </w:rPr>
        <w:t>05 października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6A1F"/>
    <w:rsid w:val="000C7229"/>
    <w:rsid w:val="00125B0C"/>
    <w:rsid w:val="00144B8A"/>
    <w:rsid w:val="001A56F1"/>
    <w:rsid w:val="001B60F1"/>
    <w:rsid w:val="001C6E1A"/>
    <w:rsid w:val="00207A0D"/>
    <w:rsid w:val="00232F6A"/>
    <w:rsid w:val="00265C0D"/>
    <w:rsid w:val="002A77B1"/>
    <w:rsid w:val="00337CD8"/>
    <w:rsid w:val="00344AD2"/>
    <w:rsid w:val="00375EE9"/>
    <w:rsid w:val="003A3162"/>
    <w:rsid w:val="003C2AF8"/>
    <w:rsid w:val="003D48E1"/>
    <w:rsid w:val="00436E7F"/>
    <w:rsid w:val="004656D4"/>
    <w:rsid w:val="004725EA"/>
    <w:rsid w:val="00483D94"/>
    <w:rsid w:val="004F330B"/>
    <w:rsid w:val="005019AC"/>
    <w:rsid w:val="00522C07"/>
    <w:rsid w:val="0054351A"/>
    <w:rsid w:val="00581E24"/>
    <w:rsid w:val="00600476"/>
    <w:rsid w:val="00656E84"/>
    <w:rsid w:val="006769DF"/>
    <w:rsid w:val="00692499"/>
    <w:rsid w:val="007762CF"/>
    <w:rsid w:val="00781BC0"/>
    <w:rsid w:val="00787941"/>
    <w:rsid w:val="007B6969"/>
    <w:rsid w:val="007C1382"/>
    <w:rsid w:val="007C17CA"/>
    <w:rsid w:val="007E6F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BE61F8"/>
    <w:rsid w:val="00C066BD"/>
    <w:rsid w:val="00D36774"/>
    <w:rsid w:val="00D468CF"/>
    <w:rsid w:val="00DC0768"/>
    <w:rsid w:val="00DC4202"/>
    <w:rsid w:val="00DE0D25"/>
    <w:rsid w:val="00E31676"/>
    <w:rsid w:val="00E42D6A"/>
    <w:rsid w:val="00E576CE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A091-823A-4BED-A5EC-518B12F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4267</Words>
  <Characters>25606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2022-10-04T12:36:00Z</dcterms:created>
  <dcterms:modified xsi:type="dcterms:W3CDTF">2022-10-05T08:37:00Z</dcterms:modified>
</cp:coreProperties>
</file>