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6028C">
        <w:rPr>
          <w:rFonts w:ascii="Times New Roman" w:hAnsi="Times New Roman"/>
          <w:b/>
          <w:color w:val="auto"/>
          <w:sz w:val="20"/>
          <w:szCs w:val="20"/>
        </w:rPr>
        <w:t>32</w:t>
      </w:r>
      <w:r w:rsidR="00CF337B"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2602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 w:rsidR="002602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C245D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bookmarkStart w:id="0" w:name="_GoBack"/>
            <w:bookmarkEnd w:id="0"/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6028C">
              <w:rPr>
                <w:rFonts w:ascii="Times New Roman" w:hAnsi="Times New Roman"/>
                <w:b/>
                <w:bCs/>
                <w:sz w:val="20"/>
                <w:szCs w:val="20"/>
              </w:rPr>
              <w:t>w tym (jeśli dotyczy) doświadczenie w  kierowaniu/koordynowaniu komórką organizacyjną zakładu leczniczego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028C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742BA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245D4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94C368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6</cp:revision>
  <cp:lastPrinted>2019-07-30T06:29:00Z</cp:lastPrinted>
  <dcterms:created xsi:type="dcterms:W3CDTF">2023-01-05T11:17:00Z</dcterms:created>
  <dcterms:modified xsi:type="dcterms:W3CDTF">2023-03-07T20:48:00Z</dcterms:modified>
</cp:coreProperties>
</file>